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697BF" w14:textId="0E3AE12A" w:rsidR="00634C9D" w:rsidRPr="000E696C" w:rsidRDefault="0089305C" w:rsidP="003F3472">
      <w:pPr>
        <w:jc w:val="both"/>
        <w:rPr>
          <w:rFonts w:ascii="Century Gothic" w:eastAsia="Comfortaa" w:hAnsi="Century Gothic" w:cs="Comfortaa"/>
          <w:b/>
          <w:color w:val="000000" w:themeColor="text1"/>
          <w:sz w:val="28"/>
          <w:szCs w:val="28"/>
        </w:rPr>
      </w:pPr>
      <w:r w:rsidRPr="000E696C">
        <w:rPr>
          <w:rFonts w:ascii="Century Gothic" w:eastAsia="Comfortaa" w:hAnsi="Century Gothic" w:cs="Comfortaa"/>
          <w:b/>
          <w:noProof/>
          <w:color w:val="000000" w:themeColor="text1"/>
          <w:sz w:val="28"/>
          <w:szCs w:val="28"/>
        </w:rPr>
        <w:drawing>
          <wp:inline distT="0" distB="0" distL="0" distR="0" wp14:anchorId="03DCC554" wp14:editId="31CA25EC">
            <wp:extent cx="5733415" cy="7110919"/>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2356"/>
                    <a:stretch/>
                  </pic:blipFill>
                  <pic:spPr bwMode="auto">
                    <a:xfrm>
                      <a:off x="0" y="0"/>
                      <a:ext cx="5733415" cy="7110919"/>
                    </a:xfrm>
                    <a:prstGeom prst="rect">
                      <a:avLst/>
                    </a:prstGeom>
                    <a:ln>
                      <a:noFill/>
                    </a:ln>
                    <a:extLst>
                      <a:ext uri="{53640926-AAD7-44D8-BBD7-CCE9431645EC}">
                        <a14:shadowObscured xmlns:a14="http://schemas.microsoft.com/office/drawing/2010/main"/>
                      </a:ext>
                    </a:extLst>
                  </pic:spPr>
                </pic:pic>
              </a:graphicData>
            </a:graphic>
          </wp:inline>
        </w:drawing>
      </w:r>
    </w:p>
    <w:p w14:paraId="0BFA78DA" w14:textId="77777777" w:rsidR="00634C9D" w:rsidRPr="000E696C" w:rsidRDefault="00634C9D" w:rsidP="003F3472">
      <w:pPr>
        <w:jc w:val="both"/>
        <w:rPr>
          <w:rFonts w:ascii="Century Gothic" w:eastAsia="Comfortaa" w:hAnsi="Century Gothic" w:cs="Comfortaa"/>
          <w:b/>
          <w:color w:val="000000" w:themeColor="text1"/>
          <w:sz w:val="28"/>
          <w:szCs w:val="28"/>
        </w:rPr>
      </w:pPr>
    </w:p>
    <w:p w14:paraId="6708EC0D" w14:textId="75B62139" w:rsidR="00634C9D" w:rsidRPr="000E696C" w:rsidRDefault="00634C9D" w:rsidP="003F3472">
      <w:pPr>
        <w:jc w:val="both"/>
        <w:rPr>
          <w:rFonts w:ascii="Century Gothic" w:eastAsia="Comfortaa" w:hAnsi="Century Gothic" w:cs="Comfortaa"/>
          <w:b/>
          <w:color w:val="000000" w:themeColor="text1"/>
          <w:sz w:val="28"/>
          <w:szCs w:val="28"/>
        </w:rPr>
      </w:pPr>
    </w:p>
    <w:p w14:paraId="6C11D053" w14:textId="77777777" w:rsidR="00EB417B" w:rsidRPr="000E696C" w:rsidRDefault="00EB417B" w:rsidP="003F3472">
      <w:pPr>
        <w:jc w:val="both"/>
        <w:rPr>
          <w:rFonts w:ascii="Century Gothic" w:eastAsia="Comfortaa" w:hAnsi="Century Gothic" w:cs="Comfortaa"/>
          <w:b/>
          <w:color w:val="000000" w:themeColor="text1"/>
          <w:sz w:val="28"/>
          <w:szCs w:val="28"/>
        </w:rPr>
      </w:pPr>
    </w:p>
    <w:p w14:paraId="20426D46" w14:textId="331DA08F" w:rsidR="00EB417B" w:rsidRDefault="00EB417B" w:rsidP="003F3472">
      <w:pPr>
        <w:jc w:val="both"/>
        <w:rPr>
          <w:rFonts w:ascii="Century Gothic" w:eastAsia="Comfortaa" w:hAnsi="Century Gothic" w:cs="Comfortaa"/>
          <w:b/>
          <w:color w:val="000000" w:themeColor="text1"/>
          <w:sz w:val="28"/>
          <w:szCs w:val="28"/>
        </w:rPr>
      </w:pPr>
    </w:p>
    <w:p w14:paraId="12A54EEA" w14:textId="6AD12CFD" w:rsidR="00AC5C1C" w:rsidRDefault="00AC5C1C" w:rsidP="003F3472">
      <w:pPr>
        <w:jc w:val="both"/>
        <w:rPr>
          <w:rFonts w:ascii="Century Gothic" w:eastAsia="Comfortaa" w:hAnsi="Century Gothic" w:cs="Comfortaa"/>
          <w:b/>
          <w:color w:val="000000" w:themeColor="text1"/>
          <w:sz w:val="28"/>
          <w:szCs w:val="28"/>
        </w:rPr>
      </w:pPr>
    </w:p>
    <w:p w14:paraId="75B7D8C6" w14:textId="77777777" w:rsidR="00AC5C1C" w:rsidRPr="000E696C" w:rsidRDefault="00AC5C1C" w:rsidP="003F3472">
      <w:pPr>
        <w:jc w:val="both"/>
        <w:rPr>
          <w:rFonts w:ascii="Century Gothic" w:eastAsia="Comfortaa" w:hAnsi="Century Gothic" w:cs="Comfortaa"/>
          <w:b/>
          <w:color w:val="000000" w:themeColor="text1"/>
          <w:sz w:val="28"/>
          <w:szCs w:val="28"/>
        </w:rPr>
      </w:pPr>
    </w:p>
    <w:p w14:paraId="329F3E4D" w14:textId="77777777" w:rsidR="00EB417B" w:rsidRPr="000E696C" w:rsidRDefault="00EB417B" w:rsidP="003F3472">
      <w:pPr>
        <w:jc w:val="both"/>
        <w:rPr>
          <w:rFonts w:ascii="Century Gothic" w:eastAsia="Comfortaa" w:hAnsi="Century Gothic" w:cs="Bangla MN"/>
          <w:b/>
          <w:color w:val="000000" w:themeColor="text1"/>
          <w:sz w:val="28"/>
          <w:szCs w:val="28"/>
        </w:rPr>
      </w:pPr>
    </w:p>
    <w:sdt>
      <w:sdtPr>
        <w:rPr>
          <w:rFonts w:ascii="Century Gothic" w:eastAsia="Arial" w:hAnsi="Century Gothic" w:cs="Arial"/>
          <w:b w:val="0"/>
          <w:bCs w:val="0"/>
          <w:color w:val="000000" w:themeColor="text1"/>
          <w:sz w:val="22"/>
          <w:szCs w:val="22"/>
          <w:lang w:val="es-ES"/>
        </w:rPr>
        <w:id w:val="-502437820"/>
        <w:docPartObj>
          <w:docPartGallery w:val="Table of Contents"/>
          <w:docPartUnique/>
        </w:docPartObj>
      </w:sdtPr>
      <w:sdtEndPr>
        <w:rPr>
          <w:noProof/>
          <w:lang w:val="es"/>
        </w:rPr>
      </w:sdtEndPr>
      <w:sdtContent>
        <w:p w14:paraId="11B15705" w14:textId="1E93F19C" w:rsidR="0089305C" w:rsidRPr="000E696C" w:rsidRDefault="003F3472" w:rsidP="003F3472">
          <w:pPr>
            <w:pStyle w:val="TtuloTDC"/>
            <w:jc w:val="both"/>
            <w:rPr>
              <w:rFonts w:ascii="Century Gothic" w:hAnsi="Century Gothic"/>
              <w:color w:val="000000" w:themeColor="text1"/>
            </w:rPr>
          </w:pPr>
          <w:r w:rsidRPr="000E696C">
            <w:rPr>
              <w:rFonts w:ascii="Century Gothic" w:hAnsi="Century Gothic"/>
              <w:color w:val="000000" w:themeColor="text1"/>
              <w:lang w:val="es-ES"/>
            </w:rPr>
            <w:t>Índice</w:t>
          </w:r>
        </w:p>
        <w:p w14:paraId="5EEC12A5" w14:textId="3FED7F02" w:rsidR="00EA31E1" w:rsidRDefault="0089305C">
          <w:pPr>
            <w:pStyle w:val="TDC1"/>
            <w:tabs>
              <w:tab w:val="right" w:leader="dot" w:pos="9019"/>
            </w:tabs>
            <w:rPr>
              <w:rFonts w:eastAsiaTheme="minorEastAsia" w:cstheme="minorBidi"/>
              <w:b w:val="0"/>
              <w:bCs w:val="0"/>
              <w:i w:val="0"/>
              <w:iCs w:val="0"/>
              <w:noProof/>
              <w:lang w:val="es-CR"/>
            </w:rPr>
          </w:pPr>
          <w:r w:rsidRPr="000E696C">
            <w:rPr>
              <w:rFonts w:ascii="Century Gothic" w:hAnsi="Century Gothic"/>
              <w:b w:val="0"/>
              <w:bCs w:val="0"/>
              <w:color w:val="000000" w:themeColor="text1"/>
            </w:rPr>
            <w:fldChar w:fldCharType="begin"/>
          </w:r>
          <w:r w:rsidRPr="000E696C">
            <w:rPr>
              <w:rFonts w:ascii="Century Gothic" w:hAnsi="Century Gothic"/>
              <w:color w:val="000000" w:themeColor="text1"/>
            </w:rPr>
            <w:instrText>TOC \o "1-3" \h \z \u</w:instrText>
          </w:r>
          <w:r w:rsidRPr="000E696C">
            <w:rPr>
              <w:rFonts w:ascii="Century Gothic" w:hAnsi="Century Gothic"/>
              <w:b w:val="0"/>
              <w:bCs w:val="0"/>
              <w:color w:val="000000" w:themeColor="text1"/>
            </w:rPr>
            <w:fldChar w:fldCharType="separate"/>
          </w:r>
          <w:hyperlink w:anchor="_Toc100251346" w:history="1">
            <w:r w:rsidR="00EA31E1" w:rsidRPr="0008490E">
              <w:rPr>
                <w:rStyle w:val="Hipervnculo"/>
                <w:rFonts w:ascii="Century Gothic" w:hAnsi="Century Gothic"/>
                <w:noProof/>
              </w:rPr>
              <w:t>Introducción</w:t>
            </w:r>
            <w:r w:rsidR="00EA31E1">
              <w:rPr>
                <w:noProof/>
                <w:webHidden/>
              </w:rPr>
              <w:tab/>
            </w:r>
            <w:r w:rsidR="00EA31E1">
              <w:rPr>
                <w:noProof/>
                <w:webHidden/>
              </w:rPr>
              <w:fldChar w:fldCharType="begin"/>
            </w:r>
            <w:r w:rsidR="00EA31E1">
              <w:rPr>
                <w:noProof/>
                <w:webHidden/>
              </w:rPr>
              <w:instrText xml:space="preserve"> PAGEREF _Toc100251346 \h </w:instrText>
            </w:r>
            <w:r w:rsidR="00EA31E1">
              <w:rPr>
                <w:noProof/>
                <w:webHidden/>
              </w:rPr>
            </w:r>
            <w:r w:rsidR="00EA31E1">
              <w:rPr>
                <w:noProof/>
                <w:webHidden/>
              </w:rPr>
              <w:fldChar w:fldCharType="separate"/>
            </w:r>
            <w:r w:rsidR="00EA31E1">
              <w:rPr>
                <w:noProof/>
                <w:webHidden/>
              </w:rPr>
              <w:t>3</w:t>
            </w:r>
            <w:r w:rsidR="00EA31E1">
              <w:rPr>
                <w:noProof/>
                <w:webHidden/>
              </w:rPr>
              <w:fldChar w:fldCharType="end"/>
            </w:r>
          </w:hyperlink>
        </w:p>
        <w:p w14:paraId="21943DDA" w14:textId="62DE8FF1" w:rsidR="00EA31E1" w:rsidRDefault="002C1E83">
          <w:pPr>
            <w:pStyle w:val="TDC1"/>
            <w:tabs>
              <w:tab w:val="right" w:leader="dot" w:pos="9019"/>
            </w:tabs>
            <w:rPr>
              <w:rFonts w:eastAsiaTheme="minorEastAsia" w:cstheme="minorBidi"/>
              <w:b w:val="0"/>
              <w:bCs w:val="0"/>
              <w:i w:val="0"/>
              <w:iCs w:val="0"/>
              <w:noProof/>
              <w:lang w:val="es-CR"/>
            </w:rPr>
          </w:pPr>
          <w:hyperlink w:anchor="_Toc100251347" w:history="1">
            <w:r w:rsidR="00EA31E1" w:rsidRPr="0008490E">
              <w:rPr>
                <w:rStyle w:val="Hipervnculo"/>
                <w:rFonts w:ascii="Century Gothic" w:hAnsi="Century Gothic"/>
                <w:noProof/>
              </w:rPr>
              <w:t>El PIDA en la región</w:t>
            </w:r>
            <w:r w:rsidR="00EA31E1">
              <w:rPr>
                <w:noProof/>
                <w:webHidden/>
              </w:rPr>
              <w:tab/>
            </w:r>
            <w:r w:rsidR="00EA31E1">
              <w:rPr>
                <w:noProof/>
                <w:webHidden/>
              </w:rPr>
              <w:fldChar w:fldCharType="begin"/>
            </w:r>
            <w:r w:rsidR="00EA31E1">
              <w:rPr>
                <w:noProof/>
                <w:webHidden/>
              </w:rPr>
              <w:instrText xml:space="preserve"> PAGEREF _Toc100251347 \h </w:instrText>
            </w:r>
            <w:r w:rsidR="00EA31E1">
              <w:rPr>
                <w:noProof/>
                <w:webHidden/>
              </w:rPr>
            </w:r>
            <w:r w:rsidR="00EA31E1">
              <w:rPr>
                <w:noProof/>
                <w:webHidden/>
              </w:rPr>
              <w:fldChar w:fldCharType="separate"/>
            </w:r>
            <w:r w:rsidR="00EA31E1">
              <w:rPr>
                <w:noProof/>
                <w:webHidden/>
              </w:rPr>
              <w:t>4</w:t>
            </w:r>
            <w:r w:rsidR="00EA31E1">
              <w:rPr>
                <w:noProof/>
                <w:webHidden/>
              </w:rPr>
              <w:fldChar w:fldCharType="end"/>
            </w:r>
          </w:hyperlink>
        </w:p>
        <w:p w14:paraId="4F159BFA" w14:textId="7B5F2B62" w:rsidR="00EA31E1" w:rsidRDefault="002C1E83">
          <w:pPr>
            <w:pStyle w:val="TDC1"/>
            <w:tabs>
              <w:tab w:val="right" w:leader="dot" w:pos="9019"/>
            </w:tabs>
            <w:rPr>
              <w:rFonts w:eastAsiaTheme="minorEastAsia" w:cstheme="minorBidi"/>
              <w:b w:val="0"/>
              <w:bCs w:val="0"/>
              <w:i w:val="0"/>
              <w:iCs w:val="0"/>
              <w:noProof/>
              <w:lang w:val="es-CR"/>
            </w:rPr>
          </w:pPr>
          <w:hyperlink w:anchor="_Toc100251348" w:history="1">
            <w:r w:rsidR="00EA31E1" w:rsidRPr="0008490E">
              <w:rPr>
                <w:rStyle w:val="Hipervnculo"/>
                <w:rFonts w:ascii="Century Gothic" w:hAnsi="Century Gothic"/>
                <w:noProof/>
              </w:rPr>
              <w:t>Marco Legal Panameño</w:t>
            </w:r>
            <w:r w:rsidR="00EA31E1">
              <w:rPr>
                <w:noProof/>
                <w:webHidden/>
              </w:rPr>
              <w:tab/>
            </w:r>
            <w:r w:rsidR="00EA31E1">
              <w:rPr>
                <w:noProof/>
                <w:webHidden/>
              </w:rPr>
              <w:fldChar w:fldCharType="begin"/>
            </w:r>
            <w:r w:rsidR="00EA31E1">
              <w:rPr>
                <w:noProof/>
                <w:webHidden/>
              </w:rPr>
              <w:instrText xml:space="preserve"> PAGEREF _Toc100251348 \h </w:instrText>
            </w:r>
            <w:r w:rsidR="00EA31E1">
              <w:rPr>
                <w:noProof/>
                <w:webHidden/>
              </w:rPr>
            </w:r>
            <w:r w:rsidR="00EA31E1">
              <w:rPr>
                <w:noProof/>
                <w:webHidden/>
              </w:rPr>
              <w:fldChar w:fldCharType="separate"/>
            </w:r>
            <w:r w:rsidR="00EA31E1">
              <w:rPr>
                <w:noProof/>
                <w:webHidden/>
              </w:rPr>
              <w:t>8</w:t>
            </w:r>
            <w:r w:rsidR="00EA31E1">
              <w:rPr>
                <w:noProof/>
                <w:webHidden/>
              </w:rPr>
              <w:fldChar w:fldCharType="end"/>
            </w:r>
          </w:hyperlink>
        </w:p>
        <w:p w14:paraId="0B0DA01D" w14:textId="16F6641C" w:rsidR="00EA31E1" w:rsidRDefault="002C1E83">
          <w:pPr>
            <w:pStyle w:val="TDC2"/>
            <w:tabs>
              <w:tab w:val="right" w:leader="dot" w:pos="9019"/>
            </w:tabs>
            <w:rPr>
              <w:rFonts w:eastAsiaTheme="minorEastAsia" w:cstheme="minorBidi"/>
              <w:b w:val="0"/>
              <w:bCs w:val="0"/>
              <w:noProof/>
              <w:sz w:val="24"/>
              <w:szCs w:val="24"/>
              <w:lang w:val="es-CR"/>
            </w:rPr>
          </w:pPr>
          <w:hyperlink w:anchor="_Toc100251349" w:history="1">
            <w:r w:rsidR="00EA31E1" w:rsidRPr="0008490E">
              <w:rPr>
                <w:rStyle w:val="Hipervnculo"/>
                <w:rFonts w:ascii="Century Gothic" w:hAnsi="Century Gothic"/>
                <w:noProof/>
              </w:rPr>
              <w:t>Convenios Internacionales</w:t>
            </w:r>
            <w:r w:rsidR="00EA31E1">
              <w:rPr>
                <w:noProof/>
                <w:webHidden/>
              </w:rPr>
              <w:tab/>
            </w:r>
            <w:r w:rsidR="00EA31E1">
              <w:rPr>
                <w:noProof/>
                <w:webHidden/>
              </w:rPr>
              <w:fldChar w:fldCharType="begin"/>
            </w:r>
            <w:r w:rsidR="00EA31E1">
              <w:rPr>
                <w:noProof/>
                <w:webHidden/>
              </w:rPr>
              <w:instrText xml:space="preserve"> PAGEREF _Toc100251349 \h </w:instrText>
            </w:r>
            <w:r w:rsidR="00EA31E1">
              <w:rPr>
                <w:noProof/>
                <w:webHidden/>
              </w:rPr>
            </w:r>
            <w:r w:rsidR="00EA31E1">
              <w:rPr>
                <w:noProof/>
                <w:webHidden/>
              </w:rPr>
              <w:fldChar w:fldCharType="separate"/>
            </w:r>
            <w:r w:rsidR="00EA31E1">
              <w:rPr>
                <w:noProof/>
                <w:webHidden/>
              </w:rPr>
              <w:t>9</w:t>
            </w:r>
            <w:r w:rsidR="00EA31E1">
              <w:rPr>
                <w:noProof/>
                <w:webHidden/>
              </w:rPr>
              <w:fldChar w:fldCharType="end"/>
            </w:r>
          </w:hyperlink>
        </w:p>
        <w:p w14:paraId="24C4274B" w14:textId="2AA06F0B" w:rsidR="00EA31E1" w:rsidRDefault="002C1E83">
          <w:pPr>
            <w:pStyle w:val="TDC2"/>
            <w:tabs>
              <w:tab w:val="right" w:leader="dot" w:pos="9019"/>
            </w:tabs>
            <w:rPr>
              <w:rFonts w:eastAsiaTheme="minorEastAsia" w:cstheme="minorBidi"/>
              <w:b w:val="0"/>
              <w:bCs w:val="0"/>
              <w:noProof/>
              <w:sz w:val="24"/>
              <w:szCs w:val="24"/>
              <w:lang w:val="es-CR"/>
            </w:rPr>
          </w:pPr>
          <w:hyperlink w:anchor="_Toc100251350" w:history="1">
            <w:r w:rsidR="00EA31E1" w:rsidRPr="0008490E">
              <w:rPr>
                <w:rStyle w:val="Hipervnculo"/>
                <w:rFonts w:ascii="Century Gothic" w:hAnsi="Century Gothic"/>
                <w:noProof/>
              </w:rPr>
              <w:t>Leyes</w:t>
            </w:r>
            <w:r w:rsidR="00EA31E1">
              <w:rPr>
                <w:noProof/>
                <w:webHidden/>
              </w:rPr>
              <w:tab/>
            </w:r>
            <w:r w:rsidR="00EA31E1">
              <w:rPr>
                <w:noProof/>
                <w:webHidden/>
              </w:rPr>
              <w:fldChar w:fldCharType="begin"/>
            </w:r>
            <w:r w:rsidR="00EA31E1">
              <w:rPr>
                <w:noProof/>
                <w:webHidden/>
              </w:rPr>
              <w:instrText xml:space="preserve"> PAGEREF _Toc100251350 \h </w:instrText>
            </w:r>
            <w:r w:rsidR="00EA31E1">
              <w:rPr>
                <w:noProof/>
                <w:webHidden/>
              </w:rPr>
            </w:r>
            <w:r w:rsidR="00EA31E1">
              <w:rPr>
                <w:noProof/>
                <w:webHidden/>
              </w:rPr>
              <w:fldChar w:fldCharType="separate"/>
            </w:r>
            <w:r w:rsidR="00EA31E1">
              <w:rPr>
                <w:noProof/>
                <w:webHidden/>
              </w:rPr>
              <w:t>10</w:t>
            </w:r>
            <w:r w:rsidR="00EA31E1">
              <w:rPr>
                <w:noProof/>
                <w:webHidden/>
              </w:rPr>
              <w:fldChar w:fldCharType="end"/>
            </w:r>
          </w:hyperlink>
        </w:p>
        <w:p w14:paraId="142428EA" w14:textId="086846A0" w:rsidR="00EA31E1" w:rsidRDefault="002C1E83">
          <w:pPr>
            <w:pStyle w:val="TDC2"/>
            <w:tabs>
              <w:tab w:val="right" w:leader="dot" w:pos="9019"/>
            </w:tabs>
            <w:rPr>
              <w:rFonts w:eastAsiaTheme="minorEastAsia" w:cstheme="minorBidi"/>
              <w:b w:val="0"/>
              <w:bCs w:val="0"/>
              <w:noProof/>
              <w:sz w:val="24"/>
              <w:szCs w:val="24"/>
              <w:lang w:val="es-CR"/>
            </w:rPr>
          </w:pPr>
          <w:hyperlink w:anchor="_Toc100251351" w:history="1">
            <w:r w:rsidR="00EA31E1" w:rsidRPr="0008490E">
              <w:rPr>
                <w:rStyle w:val="Hipervnculo"/>
                <w:rFonts w:ascii="Century Gothic" w:hAnsi="Century Gothic"/>
                <w:noProof/>
              </w:rPr>
              <w:t>En lo que respecta a normas nacionales con rango de ley, relevantes para el PIDA y suscritos por el Estado Panameño destacan:</w:t>
            </w:r>
            <w:r w:rsidR="00EA31E1">
              <w:rPr>
                <w:noProof/>
                <w:webHidden/>
              </w:rPr>
              <w:tab/>
            </w:r>
            <w:r w:rsidR="00EA31E1">
              <w:rPr>
                <w:noProof/>
                <w:webHidden/>
              </w:rPr>
              <w:fldChar w:fldCharType="begin"/>
            </w:r>
            <w:r w:rsidR="00EA31E1">
              <w:rPr>
                <w:noProof/>
                <w:webHidden/>
              </w:rPr>
              <w:instrText xml:space="preserve"> PAGEREF _Toc100251351 \h </w:instrText>
            </w:r>
            <w:r w:rsidR="00EA31E1">
              <w:rPr>
                <w:noProof/>
                <w:webHidden/>
              </w:rPr>
            </w:r>
            <w:r w:rsidR="00EA31E1">
              <w:rPr>
                <w:noProof/>
                <w:webHidden/>
              </w:rPr>
              <w:fldChar w:fldCharType="separate"/>
            </w:r>
            <w:r w:rsidR="00EA31E1">
              <w:rPr>
                <w:noProof/>
                <w:webHidden/>
              </w:rPr>
              <w:t>10</w:t>
            </w:r>
            <w:r w:rsidR="00EA31E1">
              <w:rPr>
                <w:noProof/>
                <w:webHidden/>
              </w:rPr>
              <w:fldChar w:fldCharType="end"/>
            </w:r>
          </w:hyperlink>
        </w:p>
        <w:p w14:paraId="4A42431E" w14:textId="688227A6" w:rsidR="00EA31E1" w:rsidRDefault="002C1E83">
          <w:pPr>
            <w:pStyle w:val="TDC2"/>
            <w:tabs>
              <w:tab w:val="right" w:leader="dot" w:pos="9019"/>
            </w:tabs>
            <w:rPr>
              <w:rFonts w:eastAsiaTheme="minorEastAsia" w:cstheme="minorBidi"/>
              <w:b w:val="0"/>
              <w:bCs w:val="0"/>
              <w:noProof/>
              <w:sz w:val="24"/>
              <w:szCs w:val="24"/>
              <w:lang w:val="es-CR"/>
            </w:rPr>
          </w:pPr>
          <w:hyperlink w:anchor="_Toc100251352" w:history="1">
            <w:r w:rsidR="00EA31E1" w:rsidRPr="0008490E">
              <w:rPr>
                <w:rStyle w:val="Hipervnculo"/>
                <w:rFonts w:ascii="Century Gothic" w:hAnsi="Century Gothic"/>
                <w:noProof/>
              </w:rPr>
              <w:t>Decretos</w:t>
            </w:r>
            <w:r w:rsidR="00EA31E1">
              <w:rPr>
                <w:noProof/>
                <w:webHidden/>
              </w:rPr>
              <w:tab/>
            </w:r>
            <w:r w:rsidR="00EA31E1">
              <w:rPr>
                <w:noProof/>
                <w:webHidden/>
              </w:rPr>
              <w:fldChar w:fldCharType="begin"/>
            </w:r>
            <w:r w:rsidR="00EA31E1">
              <w:rPr>
                <w:noProof/>
                <w:webHidden/>
              </w:rPr>
              <w:instrText xml:space="preserve"> PAGEREF _Toc100251352 \h </w:instrText>
            </w:r>
            <w:r w:rsidR="00EA31E1">
              <w:rPr>
                <w:noProof/>
                <w:webHidden/>
              </w:rPr>
            </w:r>
            <w:r w:rsidR="00EA31E1">
              <w:rPr>
                <w:noProof/>
                <w:webHidden/>
              </w:rPr>
              <w:fldChar w:fldCharType="separate"/>
            </w:r>
            <w:r w:rsidR="00EA31E1">
              <w:rPr>
                <w:noProof/>
                <w:webHidden/>
              </w:rPr>
              <w:t>13</w:t>
            </w:r>
            <w:r w:rsidR="00EA31E1">
              <w:rPr>
                <w:noProof/>
                <w:webHidden/>
              </w:rPr>
              <w:fldChar w:fldCharType="end"/>
            </w:r>
          </w:hyperlink>
        </w:p>
        <w:p w14:paraId="6B15B2E2" w14:textId="587493A8" w:rsidR="00EA31E1" w:rsidRDefault="002C1E83">
          <w:pPr>
            <w:pStyle w:val="TDC2"/>
            <w:tabs>
              <w:tab w:val="right" w:leader="dot" w:pos="9019"/>
            </w:tabs>
            <w:rPr>
              <w:rFonts w:eastAsiaTheme="minorEastAsia" w:cstheme="minorBidi"/>
              <w:b w:val="0"/>
              <w:bCs w:val="0"/>
              <w:noProof/>
              <w:sz w:val="24"/>
              <w:szCs w:val="24"/>
              <w:lang w:val="es-CR"/>
            </w:rPr>
          </w:pPr>
          <w:hyperlink w:anchor="_Toc100251353" w:history="1">
            <w:r w:rsidR="00EA31E1" w:rsidRPr="0008490E">
              <w:rPr>
                <w:rStyle w:val="Hipervnculo"/>
                <w:rFonts w:ascii="Century Gothic" w:hAnsi="Century Gothic"/>
                <w:noProof/>
              </w:rPr>
              <w:t>Otras normas</w:t>
            </w:r>
            <w:r w:rsidR="00EA31E1">
              <w:rPr>
                <w:noProof/>
                <w:webHidden/>
              </w:rPr>
              <w:tab/>
            </w:r>
            <w:r w:rsidR="00EA31E1">
              <w:rPr>
                <w:noProof/>
                <w:webHidden/>
              </w:rPr>
              <w:fldChar w:fldCharType="begin"/>
            </w:r>
            <w:r w:rsidR="00EA31E1">
              <w:rPr>
                <w:noProof/>
                <w:webHidden/>
              </w:rPr>
              <w:instrText xml:space="preserve"> PAGEREF _Toc100251353 \h </w:instrText>
            </w:r>
            <w:r w:rsidR="00EA31E1">
              <w:rPr>
                <w:noProof/>
                <w:webHidden/>
              </w:rPr>
            </w:r>
            <w:r w:rsidR="00EA31E1">
              <w:rPr>
                <w:noProof/>
                <w:webHidden/>
              </w:rPr>
              <w:fldChar w:fldCharType="separate"/>
            </w:r>
            <w:r w:rsidR="00EA31E1">
              <w:rPr>
                <w:noProof/>
                <w:webHidden/>
              </w:rPr>
              <w:t>15</w:t>
            </w:r>
            <w:r w:rsidR="00EA31E1">
              <w:rPr>
                <w:noProof/>
                <w:webHidden/>
              </w:rPr>
              <w:fldChar w:fldCharType="end"/>
            </w:r>
          </w:hyperlink>
        </w:p>
        <w:p w14:paraId="3A7C71E7" w14:textId="12F2AF88" w:rsidR="00EA31E1" w:rsidRDefault="002C1E83">
          <w:pPr>
            <w:pStyle w:val="TDC1"/>
            <w:tabs>
              <w:tab w:val="right" w:leader="dot" w:pos="9019"/>
            </w:tabs>
            <w:rPr>
              <w:rFonts w:eastAsiaTheme="minorEastAsia" w:cstheme="minorBidi"/>
              <w:b w:val="0"/>
              <w:bCs w:val="0"/>
              <w:i w:val="0"/>
              <w:iCs w:val="0"/>
              <w:noProof/>
              <w:lang w:val="es-CR"/>
            </w:rPr>
          </w:pPr>
          <w:hyperlink w:anchor="_Toc100251354" w:history="1">
            <w:r w:rsidR="00EA31E1" w:rsidRPr="0008490E">
              <w:rPr>
                <w:rStyle w:val="Hipervnculo"/>
                <w:rFonts w:ascii="Century Gothic" w:hAnsi="Century Gothic"/>
                <w:noProof/>
              </w:rPr>
              <w:t>Mapeo de Actores</w:t>
            </w:r>
            <w:r w:rsidR="00EA31E1">
              <w:rPr>
                <w:noProof/>
                <w:webHidden/>
              </w:rPr>
              <w:tab/>
            </w:r>
            <w:r w:rsidR="00EA31E1">
              <w:rPr>
                <w:noProof/>
                <w:webHidden/>
              </w:rPr>
              <w:fldChar w:fldCharType="begin"/>
            </w:r>
            <w:r w:rsidR="00EA31E1">
              <w:rPr>
                <w:noProof/>
                <w:webHidden/>
              </w:rPr>
              <w:instrText xml:space="preserve"> PAGEREF _Toc100251354 \h </w:instrText>
            </w:r>
            <w:r w:rsidR="00EA31E1">
              <w:rPr>
                <w:noProof/>
                <w:webHidden/>
              </w:rPr>
            </w:r>
            <w:r w:rsidR="00EA31E1">
              <w:rPr>
                <w:noProof/>
                <w:webHidden/>
              </w:rPr>
              <w:fldChar w:fldCharType="separate"/>
            </w:r>
            <w:r w:rsidR="00EA31E1">
              <w:rPr>
                <w:noProof/>
                <w:webHidden/>
              </w:rPr>
              <w:t>16</w:t>
            </w:r>
            <w:r w:rsidR="00EA31E1">
              <w:rPr>
                <w:noProof/>
                <w:webHidden/>
              </w:rPr>
              <w:fldChar w:fldCharType="end"/>
            </w:r>
          </w:hyperlink>
        </w:p>
        <w:p w14:paraId="532A70AD" w14:textId="4D9E37AE" w:rsidR="00EA31E1" w:rsidRDefault="002C1E83">
          <w:pPr>
            <w:pStyle w:val="TDC2"/>
            <w:tabs>
              <w:tab w:val="right" w:leader="dot" w:pos="9019"/>
            </w:tabs>
            <w:rPr>
              <w:rFonts w:eastAsiaTheme="minorEastAsia" w:cstheme="minorBidi"/>
              <w:b w:val="0"/>
              <w:bCs w:val="0"/>
              <w:noProof/>
              <w:sz w:val="24"/>
              <w:szCs w:val="24"/>
              <w:lang w:val="es-CR"/>
            </w:rPr>
          </w:pPr>
          <w:hyperlink w:anchor="_Toc100251355" w:history="1">
            <w:r w:rsidR="00EA31E1" w:rsidRPr="0008490E">
              <w:rPr>
                <w:rStyle w:val="Hipervnculo"/>
                <w:rFonts w:ascii="Century Gothic" w:hAnsi="Century Gothic"/>
                <w:noProof/>
              </w:rPr>
              <w:t>Actores a nivel internacional y regional</w:t>
            </w:r>
            <w:r w:rsidR="00EA31E1">
              <w:rPr>
                <w:noProof/>
                <w:webHidden/>
              </w:rPr>
              <w:tab/>
            </w:r>
            <w:r w:rsidR="00EA31E1">
              <w:rPr>
                <w:noProof/>
                <w:webHidden/>
              </w:rPr>
              <w:fldChar w:fldCharType="begin"/>
            </w:r>
            <w:r w:rsidR="00EA31E1">
              <w:rPr>
                <w:noProof/>
                <w:webHidden/>
              </w:rPr>
              <w:instrText xml:space="preserve"> PAGEREF _Toc100251355 \h </w:instrText>
            </w:r>
            <w:r w:rsidR="00EA31E1">
              <w:rPr>
                <w:noProof/>
                <w:webHidden/>
              </w:rPr>
            </w:r>
            <w:r w:rsidR="00EA31E1">
              <w:rPr>
                <w:noProof/>
                <w:webHidden/>
              </w:rPr>
              <w:fldChar w:fldCharType="separate"/>
            </w:r>
            <w:r w:rsidR="00EA31E1">
              <w:rPr>
                <w:noProof/>
                <w:webHidden/>
              </w:rPr>
              <w:t>16</w:t>
            </w:r>
            <w:r w:rsidR="00EA31E1">
              <w:rPr>
                <w:noProof/>
                <w:webHidden/>
              </w:rPr>
              <w:fldChar w:fldCharType="end"/>
            </w:r>
          </w:hyperlink>
        </w:p>
        <w:p w14:paraId="1E317ACF" w14:textId="209725AF" w:rsidR="00EA31E1" w:rsidRDefault="002C1E83">
          <w:pPr>
            <w:pStyle w:val="TDC2"/>
            <w:tabs>
              <w:tab w:val="right" w:leader="dot" w:pos="9019"/>
            </w:tabs>
            <w:rPr>
              <w:rFonts w:eastAsiaTheme="minorEastAsia" w:cstheme="minorBidi"/>
              <w:b w:val="0"/>
              <w:bCs w:val="0"/>
              <w:noProof/>
              <w:sz w:val="24"/>
              <w:szCs w:val="24"/>
              <w:lang w:val="es-CR"/>
            </w:rPr>
          </w:pPr>
          <w:hyperlink w:anchor="_Toc100251356" w:history="1">
            <w:r w:rsidR="00EA31E1" w:rsidRPr="0008490E">
              <w:rPr>
                <w:rStyle w:val="Hipervnculo"/>
                <w:rFonts w:ascii="Century Gothic" w:hAnsi="Century Gothic"/>
                <w:noProof/>
              </w:rPr>
              <w:t>Actores Institucionales</w:t>
            </w:r>
            <w:r w:rsidR="00EA31E1">
              <w:rPr>
                <w:noProof/>
                <w:webHidden/>
              </w:rPr>
              <w:tab/>
            </w:r>
            <w:r w:rsidR="00EA31E1">
              <w:rPr>
                <w:noProof/>
                <w:webHidden/>
              </w:rPr>
              <w:fldChar w:fldCharType="begin"/>
            </w:r>
            <w:r w:rsidR="00EA31E1">
              <w:rPr>
                <w:noProof/>
                <w:webHidden/>
              </w:rPr>
              <w:instrText xml:space="preserve"> PAGEREF _Toc100251356 \h </w:instrText>
            </w:r>
            <w:r w:rsidR="00EA31E1">
              <w:rPr>
                <w:noProof/>
                <w:webHidden/>
              </w:rPr>
            </w:r>
            <w:r w:rsidR="00EA31E1">
              <w:rPr>
                <w:noProof/>
                <w:webHidden/>
              </w:rPr>
              <w:fldChar w:fldCharType="separate"/>
            </w:r>
            <w:r w:rsidR="00EA31E1">
              <w:rPr>
                <w:noProof/>
                <w:webHidden/>
              </w:rPr>
              <w:t>20</w:t>
            </w:r>
            <w:r w:rsidR="00EA31E1">
              <w:rPr>
                <w:noProof/>
                <w:webHidden/>
              </w:rPr>
              <w:fldChar w:fldCharType="end"/>
            </w:r>
          </w:hyperlink>
        </w:p>
        <w:p w14:paraId="6B41287E" w14:textId="6CB28466" w:rsidR="00EA31E1" w:rsidRDefault="002C1E83">
          <w:pPr>
            <w:pStyle w:val="TDC3"/>
            <w:tabs>
              <w:tab w:val="right" w:leader="dot" w:pos="9019"/>
            </w:tabs>
            <w:rPr>
              <w:rFonts w:eastAsiaTheme="minorEastAsia" w:cstheme="minorBidi"/>
              <w:noProof/>
              <w:sz w:val="24"/>
              <w:szCs w:val="24"/>
              <w:lang w:val="es-CR"/>
            </w:rPr>
          </w:pPr>
          <w:hyperlink w:anchor="_Toc100251357" w:history="1">
            <w:r w:rsidR="00EA31E1" w:rsidRPr="0008490E">
              <w:rPr>
                <w:rStyle w:val="Hipervnculo"/>
                <w:rFonts w:ascii="Century Gothic" w:hAnsi="Century Gothic"/>
                <w:noProof/>
                <w:lang w:val="es-CR"/>
              </w:rPr>
              <w:t>Instituciones rectoras o de coordinación en materia de datos abiertos</w:t>
            </w:r>
            <w:r w:rsidR="00EA31E1">
              <w:rPr>
                <w:noProof/>
                <w:webHidden/>
              </w:rPr>
              <w:tab/>
            </w:r>
            <w:r w:rsidR="00EA31E1">
              <w:rPr>
                <w:noProof/>
                <w:webHidden/>
              </w:rPr>
              <w:fldChar w:fldCharType="begin"/>
            </w:r>
            <w:r w:rsidR="00EA31E1">
              <w:rPr>
                <w:noProof/>
                <w:webHidden/>
              </w:rPr>
              <w:instrText xml:space="preserve"> PAGEREF _Toc100251357 \h </w:instrText>
            </w:r>
            <w:r w:rsidR="00EA31E1">
              <w:rPr>
                <w:noProof/>
                <w:webHidden/>
              </w:rPr>
            </w:r>
            <w:r w:rsidR="00EA31E1">
              <w:rPr>
                <w:noProof/>
                <w:webHidden/>
              </w:rPr>
              <w:fldChar w:fldCharType="separate"/>
            </w:r>
            <w:r w:rsidR="00EA31E1">
              <w:rPr>
                <w:noProof/>
                <w:webHidden/>
              </w:rPr>
              <w:t>20</w:t>
            </w:r>
            <w:r w:rsidR="00EA31E1">
              <w:rPr>
                <w:noProof/>
                <w:webHidden/>
              </w:rPr>
              <w:fldChar w:fldCharType="end"/>
            </w:r>
          </w:hyperlink>
        </w:p>
        <w:p w14:paraId="3DBB6D0C" w14:textId="38A80E77" w:rsidR="00EA31E1" w:rsidRDefault="002C1E83">
          <w:pPr>
            <w:pStyle w:val="TDC3"/>
            <w:tabs>
              <w:tab w:val="right" w:leader="dot" w:pos="9019"/>
            </w:tabs>
            <w:rPr>
              <w:rFonts w:eastAsiaTheme="minorEastAsia" w:cstheme="minorBidi"/>
              <w:noProof/>
              <w:sz w:val="24"/>
              <w:szCs w:val="24"/>
              <w:lang w:val="es-CR"/>
            </w:rPr>
          </w:pPr>
          <w:hyperlink w:anchor="_Toc100251358" w:history="1">
            <w:r w:rsidR="00EA31E1" w:rsidRPr="0008490E">
              <w:rPr>
                <w:rStyle w:val="Hipervnculo"/>
                <w:rFonts w:ascii="Century Gothic" w:hAnsi="Century Gothic"/>
                <w:noProof/>
                <w:lang w:val="es-CR"/>
              </w:rPr>
              <w:t>Instituciones rectoras o de coordinación en materia de la lucha contra la corrupción</w:t>
            </w:r>
            <w:r w:rsidR="00EA31E1">
              <w:rPr>
                <w:noProof/>
                <w:webHidden/>
              </w:rPr>
              <w:tab/>
            </w:r>
            <w:r w:rsidR="00EA31E1">
              <w:rPr>
                <w:noProof/>
                <w:webHidden/>
              </w:rPr>
              <w:fldChar w:fldCharType="begin"/>
            </w:r>
            <w:r w:rsidR="00EA31E1">
              <w:rPr>
                <w:noProof/>
                <w:webHidden/>
              </w:rPr>
              <w:instrText xml:space="preserve"> PAGEREF _Toc100251358 \h </w:instrText>
            </w:r>
            <w:r w:rsidR="00EA31E1">
              <w:rPr>
                <w:noProof/>
                <w:webHidden/>
              </w:rPr>
            </w:r>
            <w:r w:rsidR="00EA31E1">
              <w:rPr>
                <w:noProof/>
                <w:webHidden/>
              </w:rPr>
              <w:fldChar w:fldCharType="separate"/>
            </w:r>
            <w:r w:rsidR="00EA31E1">
              <w:rPr>
                <w:noProof/>
                <w:webHidden/>
              </w:rPr>
              <w:t>21</w:t>
            </w:r>
            <w:r w:rsidR="00EA31E1">
              <w:rPr>
                <w:noProof/>
                <w:webHidden/>
              </w:rPr>
              <w:fldChar w:fldCharType="end"/>
            </w:r>
          </w:hyperlink>
        </w:p>
        <w:p w14:paraId="5A534830" w14:textId="2100132B" w:rsidR="00EA31E1" w:rsidRDefault="002C1E83">
          <w:pPr>
            <w:pStyle w:val="TDC3"/>
            <w:tabs>
              <w:tab w:val="right" w:leader="dot" w:pos="9019"/>
            </w:tabs>
            <w:rPr>
              <w:rFonts w:eastAsiaTheme="minorEastAsia" w:cstheme="minorBidi"/>
              <w:noProof/>
              <w:sz w:val="24"/>
              <w:szCs w:val="24"/>
              <w:lang w:val="es-CR"/>
            </w:rPr>
          </w:pPr>
          <w:hyperlink w:anchor="_Toc100251359" w:history="1">
            <w:r w:rsidR="00EA31E1" w:rsidRPr="0008490E">
              <w:rPr>
                <w:rStyle w:val="Hipervnculo"/>
                <w:rFonts w:ascii="Century Gothic" w:hAnsi="Century Gothic"/>
                <w:noProof/>
                <w:lang w:val="es-CR"/>
              </w:rPr>
              <w:t>Instituciones colaboradoras en la apertura de datos públicos</w:t>
            </w:r>
            <w:r w:rsidR="00EA31E1">
              <w:rPr>
                <w:noProof/>
                <w:webHidden/>
              </w:rPr>
              <w:tab/>
            </w:r>
            <w:r w:rsidR="00EA31E1">
              <w:rPr>
                <w:noProof/>
                <w:webHidden/>
              </w:rPr>
              <w:fldChar w:fldCharType="begin"/>
            </w:r>
            <w:r w:rsidR="00EA31E1">
              <w:rPr>
                <w:noProof/>
                <w:webHidden/>
              </w:rPr>
              <w:instrText xml:space="preserve"> PAGEREF _Toc100251359 \h </w:instrText>
            </w:r>
            <w:r w:rsidR="00EA31E1">
              <w:rPr>
                <w:noProof/>
                <w:webHidden/>
              </w:rPr>
            </w:r>
            <w:r w:rsidR="00EA31E1">
              <w:rPr>
                <w:noProof/>
                <w:webHidden/>
              </w:rPr>
              <w:fldChar w:fldCharType="separate"/>
            </w:r>
            <w:r w:rsidR="00EA31E1">
              <w:rPr>
                <w:noProof/>
                <w:webHidden/>
              </w:rPr>
              <w:t>22</w:t>
            </w:r>
            <w:r w:rsidR="00EA31E1">
              <w:rPr>
                <w:noProof/>
                <w:webHidden/>
              </w:rPr>
              <w:fldChar w:fldCharType="end"/>
            </w:r>
          </w:hyperlink>
        </w:p>
        <w:p w14:paraId="480549AE" w14:textId="4F353E62" w:rsidR="00EA31E1" w:rsidRDefault="002C1E83">
          <w:pPr>
            <w:pStyle w:val="TDC2"/>
            <w:tabs>
              <w:tab w:val="right" w:leader="dot" w:pos="9019"/>
            </w:tabs>
            <w:rPr>
              <w:rFonts w:eastAsiaTheme="minorEastAsia" w:cstheme="minorBidi"/>
              <w:b w:val="0"/>
              <w:bCs w:val="0"/>
              <w:noProof/>
              <w:sz w:val="24"/>
              <w:szCs w:val="24"/>
              <w:lang w:val="es-CR"/>
            </w:rPr>
          </w:pPr>
          <w:hyperlink w:anchor="_Toc100251360" w:history="1">
            <w:r w:rsidR="00EA31E1" w:rsidRPr="0008490E">
              <w:rPr>
                <w:rStyle w:val="Hipervnculo"/>
                <w:rFonts w:ascii="Century Gothic" w:hAnsi="Century Gothic"/>
                <w:noProof/>
              </w:rPr>
              <w:t>Actores No Institucionales</w:t>
            </w:r>
            <w:r w:rsidR="00EA31E1">
              <w:rPr>
                <w:noProof/>
                <w:webHidden/>
              </w:rPr>
              <w:tab/>
            </w:r>
            <w:r w:rsidR="00EA31E1">
              <w:rPr>
                <w:noProof/>
                <w:webHidden/>
              </w:rPr>
              <w:fldChar w:fldCharType="begin"/>
            </w:r>
            <w:r w:rsidR="00EA31E1">
              <w:rPr>
                <w:noProof/>
                <w:webHidden/>
              </w:rPr>
              <w:instrText xml:space="preserve"> PAGEREF _Toc100251360 \h </w:instrText>
            </w:r>
            <w:r w:rsidR="00EA31E1">
              <w:rPr>
                <w:noProof/>
                <w:webHidden/>
              </w:rPr>
            </w:r>
            <w:r w:rsidR="00EA31E1">
              <w:rPr>
                <w:noProof/>
                <w:webHidden/>
              </w:rPr>
              <w:fldChar w:fldCharType="separate"/>
            </w:r>
            <w:r w:rsidR="00EA31E1">
              <w:rPr>
                <w:noProof/>
                <w:webHidden/>
              </w:rPr>
              <w:t>23</w:t>
            </w:r>
            <w:r w:rsidR="00EA31E1">
              <w:rPr>
                <w:noProof/>
                <w:webHidden/>
              </w:rPr>
              <w:fldChar w:fldCharType="end"/>
            </w:r>
          </w:hyperlink>
        </w:p>
        <w:p w14:paraId="0DE875CD" w14:textId="7A2410AC" w:rsidR="00EA31E1" w:rsidRDefault="002C1E83">
          <w:pPr>
            <w:pStyle w:val="TDC3"/>
            <w:tabs>
              <w:tab w:val="right" w:leader="dot" w:pos="9019"/>
            </w:tabs>
            <w:rPr>
              <w:rFonts w:eastAsiaTheme="minorEastAsia" w:cstheme="minorBidi"/>
              <w:noProof/>
              <w:sz w:val="24"/>
              <w:szCs w:val="24"/>
              <w:lang w:val="es-CR"/>
            </w:rPr>
          </w:pPr>
          <w:hyperlink w:anchor="_Toc100251361" w:history="1">
            <w:r w:rsidR="00EA31E1" w:rsidRPr="0008490E">
              <w:rPr>
                <w:rStyle w:val="Hipervnculo"/>
                <w:rFonts w:ascii="Century Gothic" w:hAnsi="Century Gothic"/>
                <w:noProof/>
              </w:rPr>
              <w:t>Datos abiertos, innovación y tecnología</w:t>
            </w:r>
            <w:r w:rsidR="00EA31E1">
              <w:rPr>
                <w:noProof/>
                <w:webHidden/>
              </w:rPr>
              <w:tab/>
            </w:r>
            <w:r w:rsidR="00EA31E1">
              <w:rPr>
                <w:noProof/>
                <w:webHidden/>
              </w:rPr>
              <w:fldChar w:fldCharType="begin"/>
            </w:r>
            <w:r w:rsidR="00EA31E1">
              <w:rPr>
                <w:noProof/>
                <w:webHidden/>
              </w:rPr>
              <w:instrText xml:space="preserve"> PAGEREF _Toc100251361 \h </w:instrText>
            </w:r>
            <w:r w:rsidR="00EA31E1">
              <w:rPr>
                <w:noProof/>
                <w:webHidden/>
              </w:rPr>
            </w:r>
            <w:r w:rsidR="00EA31E1">
              <w:rPr>
                <w:noProof/>
                <w:webHidden/>
              </w:rPr>
              <w:fldChar w:fldCharType="separate"/>
            </w:r>
            <w:r w:rsidR="00EA31E1">
              <w:rPr>
                <w:noProof/>
                <w:webHidden/>
              </w:rPr>
              <w:t>23</w:t>
            </w:r>
            <w:r w:rsidR="00EA31E1">
              <w:rPr>
                <w:noProof/>
                <w:webHidden/>
              </w:rPr>
              <w:fldChar w:fldCharType="end"/>
            </w:r>
          </w:hyperlink>
        </w:p>
        <w:p w14:paraId="29FBE7EE" w14:textId="548BD79B" w:rsidR="00EA31E1" w:rsidRDefault="002C1E83">
          <w:pPr>
            <w:pStyle w:val="TDC3"/>
            <w:tabs>
              <w:tab w:val="right" w:leader="dot" w:pos="9019"/>
            </w:tabs>
            <w:rPr>
              <w:rFonts w:eastAsiaTheme="minorEastAsia" w:cstheme="minorBidi"/>
              <w:noProof/>
              <w:sz w:val="24"/>
              <w:szCs w:val="24"/>
              <w:lang w:val="es-CR"/>
            </w:rPr>
          </w:pPr>
          <w:hyperlink w:anchor="_Toc100251362" w:history="1">
            <w:r w:rsidR="00EA31E1" w:rsidRPr="0008490E">
              <w:rPr>
                <w:rStyle w:val="Hipervnculo"/>
                <w:rFonts w:ascii="Century Gothic" w:hAnsi="Century Gothic"/>
                <w:noProof/>
              </w:rPr>
              <w:t>Transparencia y lucha contra la corrupción</w:t>
            </w:r>
            <w:r w:rsidR="00EA31E1">
              <w:rPr>
                <w:noProof/>
                <w:webHidden/>
              </w:rPr>
              <w:tab/>
            </w:r>
            <w:r w:rsidR="00EA31E1">
              <w:rPr>
                <w:noProof/>
                <w:webHidden/>
              </w:rPr>
              <w:fldChar w:fldCharType="begin"/>
            </w:r>
            <w:r w:rsidR="00EA31E1">
              <w:rPr>
                <w:noProof/>
                <w:webHidden/>
              </w:rPr>
              <w:instrText xml:space="preserve"> PAGEREF _Toc100251362 \h </w:instrText>
            </w:r>
            <w:r w:rsidR="00EA31E1">
              <w:rPr>
                <w:noProof/>
                <w:webHidden/>
              </w:rPr>
            </w:r>
            <w:r w:rsidR="00EA31E1">
              <w:rPr>
                <w:noProof/>
                <w:webHidden/>
              </w:rPr>
              <w:fldChar w:fldCharType="separate"/>
            </w:r>
            <w:r w:rsidR="00EA31E1">
              <w:rPr>
                <w:noProof/>
                <w:webHidden/>
              </w:rPr>
              <w:t>23</w:t>
            </w:r>
            <w:r w:rsidR="00EA31E1">
              <w:rPr>
                <w:noProof/>
                <w:webHidden/>
              </w:rPr>
              <w:fldChar w:fldCharType="end"/>
            </w:r>
          </w:hyperlink>
        </w:p>
        <w:p w14:paraId="3FFD609D" w14:textId="4C26786F" w:rsidR="00EA31E1" w:rsidRDefault="002C1E83">
          <w:pPr>
            <w:pStyle w:val="TDC3"/>
            <w:tabs>
              <w:tab w:val="right" w:leader="dot" w:pos="9019"/>
            </w:tabs>
            <w:rPr>
              <w:rFonts w:eastAsiaTheme="minorEastAsia" w:cstheme="minorBidi"/>
              <w:noProof/>
              <w:sz w:val="24"/>
              <w:szCs w:val="24"/>
              <w:lang w:val="es-CR"/>
            </w:rPr>
          </w:pPr>
          <w:hyperlink w:anchor="_Toc100251363" w:history="1">
            <w:r w:rsidR="00EA31E1" w:rsidRPr="0008490E">
              <w:rPr>
                <w:rStyle w:val="Hipervnculo"/>
                <w:rFonts w:ascii="Century Gothic" w:hAnsi="Century Gothic"/>
                <w:noProof/>
              </w:rPr>
              <w:t>Otros sectores:</w:t>
            </w:r>
            <w:r w:rsidR="00EA31E1">
              <w:rPr>
                <w:noProof/>
                <w:webHidden/>
              </w:rPr>
              <w:tab/>
            </w:r>
            <w:r w:rsidR="00EA31E1">
              <w:rPr>
                <w:noProof/>
                <w:webHidden/>
              </w:rPr>
              <w:fldChar w:fldCharType="begin"/>
            </w:r>
            <w:r w:rsidR="00EA31E1">
              <w:rPr>
                <w:noProof/>
                <w:webHidden/>
              </w:rPr>
              <w:instrText xml:space="preserve"> PAGEREF _Toc100251363 \h </w:instrText>
            </w:r>
            <w:r w:rsidR="00EA31E1">
              <w:rPr>
                <w:noProof/>
                <w:webHidden/>
              </w:rPr>
            </w:r>
            <w:r w:rsidR="00EA31E1">
              <w:rPr>
                <w:noProof/>
                <w:webHidden/>
              </w:rPr>
              <w:fldChar w:fldCharType="separate"/>
            </w:r>
            <w:r w:rsidR="00EA31E1">
              <w:rPr>
                <w:noProof/>
                <w:webHidden/>
              </w:rPr>
              <w:t>24</w:t>
            </w:r>
            <w:r w:rsidR="00EA31E1">
              <w:rPr>
                <w:noProof/>
                <w:webHidden/>
              </w:rPr>
              <w:fldChar w:fldCharType="end"/>
            </w:r>
          </w:hyperlink>
        </w:p>
        <w:p w14:paraId="767047FD" w14:textId="04C1AAF2" w:rsidR="00EA31E1" w:rsidRDefault="002C1E83">
          <w:pPr>
            <w:pStyle w:val="TDC1"/>
            <w:tabs>
              <w:tab w:val="right" w:leader="dot" w:pos="9019"/>
            </w:tabs>
            <w:rPr>
              <w:rFonts w:eastAsiaTheme="minorEastAsia" w:cstheme="minorBidi"/>
              <w:b w:val="0"/>
              <w:bCs w:val="0"/>
              <w:i w:val="0"/>
              <w:iCs w:val="0"/>
              <w:noProof/>
              <w:lang w:val="es-CR"/>
            </w:rPr>
          </w:pPr>
          <w:hyperlink w:anchor="_Toc100251364" w:history="1">
            <w:r w:rsidR="00EA31E1" w:rsidRPr="0008490E">
              <w:rPr>
                <w:rStyle w:val="Hipervnculo"/>
                <w:rFonts w:ascii="Century Gothic" w:hAnsi="Century Gothic"/>
                <w:noProof/>
              </w:rPr>
              <w:t>Hallazgos y Recomendaciones</w:t>
            </w:r>
            <w:r w:rsidR="00EA31E1">
              <w:rPr>
                <w:noProof/>
                <w:webHidden/>
              </w:rPr>
              <w:tab/>
            </w:r>
            <w:r w:rsidR="00EA31E1">
              <w:rPr>
                <w:noProof/>
                <w:webHidden/>
              </w:rPr>
              <w:fldChar w:fldCharType="begin"/>
            </w:r>
            <w:r w:rsidR="00EA31E1">
              <w:rPr>
                <w:noProof/>
                <w:webHidden/>
              </w:rPr>
              <w:instrText xml:space="preserve"> PAGEREF _Toc100251364 \h </w:instrText>
            </w:r>
            <w:r w:rsidR="00EA31E1">
              <w:rPr>
                <w:noProof/>
                <w:webHidden/>
              </w:rPr>
            </w:r>
            <w:r w:rsidR="00EA31E1">
              <w:rPr>
                <w:noProof/>
                <w:webHidden/>
              </w:rPr>
              <w:fldChar w:fldCharType="separate"/>
            </w:r>
            <w:r w:rsidR="00EA31E1">
              <w:rPr>
                <w:noProof/>
                <w:webHidden/>
              </w:rPr>
              <w:t>27</w:t>
            </w:r>
            <w:r w:rsidR="00EA31E1">
              <w:rPr>
                <w:noProof/>
                <w:webHidden/>
              </w:rPr>
              <w:fldChar w:fldCharType="end"/>
            </w:r>
          </w:hyperlink>
        </w:p>
        <w:p w14:paraId="5B640BAB" w14:textId="4C86B6C3" w:rsidR="0089305C" w:rsidRPr="000E696C" w:rsidRDefault="0089305C" w:rsidP="003F3472">
          <w:pPr>
            <w:jc w:val="both"/>
            <w:rPr>
              <w:rFonts w:ascii="Century Gothic" w:hAnsi="Century Gothic"/>
              <w:color w:val="000000" w:themeColor="text1"/>
            </w:rPr>
          </w:pPr>
          <w:r w:rsidRPr="000E696C">
            <w:rPr>
              <w:rFonts w:ascii="Century Gothic" w:hAnsi="Century Gothic"/>
              <w:b/>
              <w:bCs/>
              <w:noProof/>
              <w:color w:val="000000" w:themeColor="text1"/>
            </w:rPr>
            <w:fldChar w:fldCharType="end"/>
          </w:r>
        </w:p>
      </w:sdtContent>
    </w:sdt>
    <w:p w14:paraId="259ECAA5" w14:textId="77777777" w:rsidR="0061565B" w:rsidRPr="000E696C" w:rsidRDefault="0061565B" w:rsidP="003F3472">
      <w:pPr>
        <w:jc w:val="both"/>
        <w:rPr>
          <w:rFonts w:ascii="Century Gothic" w:eastAsia="Comfortaa" w:hAnsi="Century Gothic" w:cs="Bangla MN"/>
          <w:b/>
          <w:color w:val="000000" w:themeColor="text1"/>
          <w:sz w:val="24"/>
          <w:szCs w:val="24"/>
        </w:rPr>
      </w:pPr>
    </w:p>
    <w:p w14:paraId="00000006" w14:textId="0EB61B6F" w:rsidR="00E35228" w:rsidRDefault="00E35228">
      <w:pPr>
        <w:rPr>
          <w:rFonts w:ascii="Century Gothic" w:eastAsia="Comfortaa" w:hAnsi="Century Gothic" w:cs="Bangla MN"/>
          <w:b/>
          <w:i/>
          <w:color w:val="000000" w:themeColor="text1"/>
        </w:rPr>
      </w:pPr>
      <w:r>
        <w:rPr>
          <w:rFonts w:ascii="Century Gothic" w:eastAsia="Comfortaa" w:hAnsi="Century Gothic" w:cs="Bangla MN"/>
          <w:b/>
          <w:i/>
          <w:color w:val="000000" w:themeColor="text1"/>
        </w:rPr>
        <w:br w:type="page"/>
      </w:r>
    </w:p>
    <w:p w14:paraId="628A6AF0" w14:textId="5385185D" w:rsidR="003F3472" w:rsidRPr="000E696C" w:rsidRDefault="003F3472" w:rsidP="00CC5D47">
      <w:pPr>
        <w:pStyle w:val="Ttulo1"/>
        <w:jc w:val="both"/>
        <w:rPr>
          <w:rFonts w:ascii="Century Gothic" w:hAnsi="Century Gothic"/>
          <w:color w:val="000000" w:themeColor="text1"/>
        </w:rPr>
      </w:pPr>
      <w:bookmarkStart w:id="0" w:name="_Toc100251346"/>
      <w:r w:rsidRPr="000E696C">
        <w:rPr>
          <w:rFonts w:ascii="Century Gothic" w:hAnsi="Century Gothic"/>
          <w:color w:val="000000" w:themeColor="text1"/>
        </w:rPr>
        <w:lastRenderedPageBreak/>
        <w:t>Introducc</w:t>
      </w:r>
      <w:r w:rsidR="00057E42">
        <w:rPr>
          <w:rFonts w:ascii="Century Gothic" w:hAnsi="Century Gothic"/>
          <w:color w:val="000000" w:themeColor="text1"/>
        </w:rPr>
        <w:t>i</w:t>
      </w:r>
      <w:r w:rsidRPr="000E696C">
        <w:rPr>
          <w:rFonts w:ascii="Century Gothic" w:hAnsi="Century Gothic"/>
          <w:color w:val="000000" w:themeColor="text1"/>
        </w:rPr>
        <w:t>ón</w:t>
      </w:r>
      <w:bookmarkEnd w:id="0"/>
    </w:p>
    <w:p w14:paraId="3BBEFCBC" w14:textId="77777777" w:rsidR="00E61C3F" w:rsidRPr="000E696C" w:rsidRDefault="00E61C3F" w:rsidP="00E61C3F">
      <w:pPr>
        <w:pStyle w:val="NormalWeb"/>
        <w:spacing w:before="0" w:beforeAutospacing="0" w:after="0" w:afterAutospacing="0" w:line="276" w:lineRule="auto"/>
        <w:ind w:firstLine="720"/>
        <w:jc w:val="both"/>
        <w:rPr>
          <w:rFonts w:ascii="Century Gothic" w:hAnsi="Century Gothic"/>
          <w:color w:val="000000" w:themeColor="text1"/>
        </w:rPr>
      </w:pPr>
    </w:p>
    <w:p w14:paraId="61A1178C" w14:textId="7E05F751" w:rsidR="00430E8C" w:rsidRPr="000E696C" w:rsidRDefault="007712E0" w:rsidP="00E61C3F">
      <w:pPr>
        <w:pStyle w:val="NormalWeb"/>
        <w:spacing w:before="0" w:beforeAutospacing="0" w:after="0" w:afterAutospacing="0" w:line="276" w:lineRule="auto"/>
        <w:ind w:firstLine="720"/>
        <w:jc w:val="both"/>
        <w:rPr>
          <w:rFonts w:ascii="Century Gothic" w:hAnsi="Century Gothic"/>
          <w:color w:val="000000" w:themeColor="text1"/>
        </w:rPr>
      </w:pPr>
      <w:r w:rsidRPr="000E696C">
        <w:rPr>
          <w:rFonts w:ascii="Century Gothic" w:hAnsi="Century Gothic"/>
          <w:color w:val="000000" w:themeColor="text1"/>
        </w:rPr>
        <w:t>En el marco de la Octava Cumbre de las Américas celebrada en Lima, Perú, el 13 y 14 de abril de 2018 los Jefes de Estado y de Gobierno acordaron</w:t>
      </w:r>
      <w:r w:rsidR="00165956">
        <w:rPr>
          <w:rFonts w:ascii="Century Gothic" w:hAnsi="Century Gothic"/>
          <w:color w:val="000000" w:themeColor="text1"/>
        </w:rPr>
        <w:t xml:space="preserve"> </w:t>
      </w:r>
      <w:r w:rsidRPr="000E696C">
        <w:rPr>
          <w:rFonts w:ascii="Century Gothic" w:hAnsi="Century Gothic"/>
          <w:color w:val="000000" w:themeColor="text1"/>
        </w:rPr>
        <w:t xml:space="preserve">una serie de compromisos determinados mediante el “Compromiso </w:t>
      </w:r>
      <w:r w:rsidR="00165956">
        <w:rPr>
          <w:rFonts w:ascii="Century Gothic" w:hAnsi="Century Gothic"/>
          <w:color w:val="000000" w:themeColor="text1"/>
        </w:rPr>
        <w:t>de Lima”</w:t>
      </w:r>
      <w:r w:rsidR="00165956">
        <w:rPr>
          <w:rStyle w:val="Refdenotaalpie"/>
          <w:rFonts w:ascii="Century Gothic" w:hAnsi="Century Gothic"/>
          <w:color w:val="000000" w:themeColor="text1"/>
        </w:rPr>
        <w:footnoteReference w:id="1"/>
      </w:r>
      <w:r w:rsidR="00165956">
        <w:rPr>
          <w:rFonts w:ascii="Century Gothic" w:hAnsi="Century Gothic"/>
          <w:color w:val="000000" w:themeColor="text1"/>
        </w:rPr>
        <w:t>,</w:t>
      </w:r>
      <w:r w:rsidRPr="000E696C">
        <w:rPr>
          <w:rFonts w:ascii="Century Gothic" w:hAnsi="Century Gothic"/>
          <w:color w:val="000000" w:themeColor="text1"/>
        </w:rPr>
        <w:t xml:space="preserve"> E</w:t>
      </w:r>
      <w:r w:rsidR="009D7398">
        <w:rPr>
          <w:rFonts w:ascii="Century Gothic" w:hAnsi="Century Gothic"/>
          <w:color w:val="000000" w:themeColor="text1"/>
        </w:rPr>
        <w:t xml:space="preserve">l </w:t>
      </w:r>
      <w:r w:rsidR="00886947">
        <w:rPr>
          <w:rFonts w:ascii="Century Gothic" w:hAnsi="Century Gothic"/>
          <w:color w:val="000000" w:themeColor="text1"/>
        </w:rPr>
        <w:t xml:space="preserve">mismo </w:t>
      </w:r>
      <w:r w:rsidR="009D7398">
        <w:rPr>
          <w:rFonts w:ascii="Century Gothic" w:hAnsi="Century Gothic"/>
          <w:color w:val="000000" w:themeColor="text1"/>
        </w:rPr>
        <w:t>detalla</w:t>
      </w:r>
      <w:r w:rsidRPr="000E696C">
        <w:rPr>
          <w:rFonts w:ascii="Century Gothic" w:hAnsi="Century Gothic"/>
          <w:color w:val="000000" w:themeColor="text1"/>
        </w:rPr>
        <w:t xml:space="preserve"> en los numerales 14, 17 y 20, </w:t>
      </w:r>
      <w:r w:rsidR="009D7398">
        <w:rPr>
          <w:rFonts w:ascii="Century Gothic" w:hAnsi="Century Gothic"/>
          <w:color w:val="000000" w:themeColor="text1"/>
        </w:rPr>
        <w:t>el mandato de</w:t>
      </w:r>
      <w:r w:rsidRPr="000E696C">
        <w:rPr>
          <w:rFonts w:ascii="Century Gothic" w:hAnsi="Century Gothic"/>
          <w:color w:val="000000" w:themeColor="text1"/>
        </w:rPr>
        <w:t xml:space="preserve"> promover políticas de gobierno abierto</w:t>
      </w:r>
      <w:r w:rsidR="009D7398">
        <w:rPr>
          <w:rFonts w:ascii="Century Gothic" w:hAnsi="Century Gothic"/>
          <w:color w:val="000000" w:themeColor="text1"/>
        </w:rPr>
        <w:t>,</w:t>
      </w:r>
      <w:r w:rsidRPr="000E696C">
        <w:rPr>
          <w:rFonts w:ascii="Century Gothic" w:hAnsi="Century Gothic"/>
          <w:color w:val="000000" w:themeColor="text1"/>
        </w:rPr>
        <w:t xml:space="preserve"> datos abiertos, y uso de las tecnologías digitales </w:t>
      </w:r>
      <w:r w:rsidR="009D7398">
        <w:rPr>
          <w:rFonts w:ascii="Century Gothic" w:hAnsi="Century Gothic"/>
          <w:color w:val="000000" w:themeColor="text1"/>
        </w:rPr>
        <w:t>para impulsar</w:t>
      </w:r>
      <w:r w:rsidRPr="000E696C">
        <w:rPr>
          <w:rFonts w:ascii="Century Gothic" w:hAnsi="Century Gothic"/>
          <w:color w:val="000000" w:themeColor="text1"/>
        </w:rPr>
        <w:t xml:space="preserve"> la transparencia</w:t>
      </w:r>
      <w:r w:rsidR="009D7398">
        <w:rPr>
          <w:rFonts w:ascii="Century Gothic" w:hAnsi="Century Gothic"/>
          <w:color w:val="000000" w:themeColor="text1"/>
        </w:rPr>
        <w:t>, la</w:t>
      </w:r>
      <w:r w:rsidRPr="000E696C">
        <w:rPr>
          <w:rFonts w:ascii="Century Gothic" w:hAnsi="Century Gothic"/>
          <w:color w:val="000000" w:themeColor="text1"/>
        </w:rPr>
        <w:t xml:space="preserve"> rendición de cuentas, la interacción con los ciudadanos, la reducción de la burocracia y la simplificación de trámites, la apertura de la información y el fortalecimiento de la cooperación e intercambio de buenas prácticas para el desarrollo y aplicación de dichas tecnologías. </w:t>
      </w:r>
    </w:p>
    <w:p w14:paraId="4A132259" w14:textId="77777777" w:rsidR="000E5066" w:rsidRPr="000E696C" w:rsidRDefault="000E5066" w:rsidP="00E61C3F">
      <w:pPr>
        <w:pStyle w:val="NormalWeb"/>
        <w:spacing w:before="0" w:beforeAutospacing="0" w:after="0" w:afterAutospacing="0" w:line="276" w:lineRule="auto"/>
        <w:ind w:firstLine="720"/>
        <w:jc w:val="both"/>
        <w:rPr>
          <w:rFonts w:ascii="Century Gothic" w:hAnsi="Century Gothic"/>
          <w:color w:val="000000" w:themeColor="text1"/>
        </w:rPr>
      </w:pPr>
    </w:p>
    <w:p w14:paraId="4DE8F8D4" w14:textId="18C15A5A" w:rsidR="007712E0" w:rsidRPr="000E696C" w:rsidRDefault="009D7398" w:rsidP="00E61C3F">
      <w:pPr>
        <w:pStyle w:val="NormalWeb"/>
        <w:spacing w:before="0" w:beforeAutospacing="0" w:after="0" w:afterAutospacing="0" w:line="276" w:lineRule="auto"/>
        <w:ind w:firstLine="720"/>
        <w:jc w:val="both"/>
        <w:rPr>
          <w:rFonts w:ascii="Century Gothic" w:hAnsi="Century Gothic"/>
          <w:color w:val="000000" w:themeColor="text1"/>
        </w:rPr>
      </w:pPr>
      <w:r>
        <w:rPr>
          <w:rFonts w:ascii="Century Gothic" w:hAnsi="Century Gothic"/>
          <w:color w:val="000000" w:themeColor="text1"/>
        </w:rPr>
        <w:t>A partir de ello,</w:t>
      </w:r>
      <w:r w:rsidR="007712E0" w:rsidRPr="000E696C">
        <w:rPr>
          <w:rFonts w:ascii="Century Gothic" w:hAnsi="Century Gothic"/>
          <w:color w:val="000000" w:themeColor="text1"/>
        </w:rPr>
        <w:t xml:space="preserve"> se destacó la importancia que tienen los datos abiertos como herramienta fundamental para combatir la corrupción desde una perspectiva de la garantía del derecho de acceso a la información. </w:t>
      </w:r>
      <w:r>
        <w:rPr>
          <w:rFonts w:ascii="Century Gothic" w:hAnsi="Century Gothic"/>
          <w:color w:val="000000" w:themeColor="text1"/>
        </w:rPr>
        <w:t>En este contexto</w:t>
      </w:r>
      <w:r w:rsidR="007712E0" w:rsidRPr="000E696C">
        <w:rPr>
          <w:rFonts w:ascii="Century Gothic" w:hAnsi="Century Gothic"/>
          <w:color w:val="000000" w:themeColor="text1"/>
        </w:rPr>
        <w:t xml:space="preserve">, se ha demostrado que los datos abiertos permiten a las personas ciudadanas tener un mayor conocimiento sobre los asuntos públicos que les permita participar de manera más informada en las decisiones que los afectan. </w:t>
      </w:r>
    </w:p>
    <w:p w14:paraId="7B9D6542" w14:textId="77777777" w:rsidR="000E5066" w:rsidRPr="000E696C" w:rsidRDefault="000E5066" w:rsidP="00E61C3F">
      <w:pPr>
        <w:pStyle w:val="NormalWeb"/>
        <w:spacing w:before="0" w:beforeAutospacing="0" w:after="0" w:afterAutospacing="0" w:line="276" w:lineRule="auto"/>
        <w:ind w:firstLine="720"/>
        <w:jc w:val="both"/>
        <w:rPr>
          <w:rFonts w:ascii="Century Gothic" w:hAnsi="Century Gothic"/>
          <w:color w:val="000000" w:themeColor="text1"/>
        </w:rPr>
      </w:pPr>
    </w:p>
    <w:p w14:paraId="722BF443" w14:textId="60429F11" w:rsidR="007712E0" w:rsidRPr="000E696C" w:rsidRDefault="007712E0" w:rsidP="00E61C3F">
      <w:pPr>
        <w:pStyle w:val="NormalWeb"/>
        <w:spacing w:before="0" w:beforeAutospacing="0" w:after="0" w:afterAutospacing="0" w:line="276" w:lineRule="auto"/>
        <w:ind w:firstLine="720"/>
        <w:jc w:val="both"/>
        <w:rPr>
          <w:rFonts w:ascii="Century Gothic" w:hAnsi="Century Gothic"/>
          <w:color w:val="000000" w:themeColor="text1"/>
        </w:rPr>
      </w:pPr>
      <w:r w:rsidRPr="000E696C">
        <w:rPr>
          <w:rFonts w:ascii="Century Gothic" w:hAnsi="Century Gothic"/>
          <w:color w:val="000000" w:themeColor="text1"/>
        </w:rPr>
        <w:t xml:space="preserve">Por ello, en el marco de los compromisos de Lima se aprobó el </w:t>
      </w:r>
      <w:r w:rsidRPr="00165956">
        <w:rPr>
          <w:rFonts w:ascii="Century Gothic" w:hAnsi="Century Gothic"/>
          <w:b/>
          <w:bCs/>
          <w:color w:val="000000" w:themeColor="text1"/>
        </w:rPr>
        <w:t>Programa Interamericano de Datos Abiertos para combatir la corrupción (PIDA)</w:t>
      </w:r>
      <w:r w:rsidRPr="000E696C">
        <w:rPr>
          <w:rFonts w:ascii="Century Gothic" w:hAnsi="Century Gothic"/>
          <w:color w:val="000000" w:themeColor="text1"/>
        </w:rPr>
        <w:t xml:space="preserve">, que tiene como propósito fortalecer las políticas de apertura de información, e incrementar la capacidad de los gobiernos y ciudadanos en la prevención y el combate a la corrupción con datos abiertos. </w:t>
      </w:r>
    </w:p>
    <w:p w14:paraId="76DD4662" w14:textId="77777777" w:rsidR="000E5066" w:rsidRPr="000E696C" w:rsidRDefault="000E5066" w:rsidP="00E61C3F">
      <w:pPr>
        <w:pStyle w:val="NormalWeb"/>
        <w:spacing w:before="0" w:beforeAutospacing="0" w:after="0" w:afterAutospacing="0" w:line="276" w:lineRule="auto"/>
        <w:ind w:firstLine="720"/>
        <w:jc w:val="both"/>
        <w:rPr>
          <w:rFonts w:ascii="Century Gothic" w:hAnsi="Century Gothic"/>
          <w:color w:val="000000" w:themeColor="text1"/>
        </w:rPr>
      </w:pPr>
    </w:p>
    <w:p w14:paraId="623F0273" w14:textId="21E21D6E" w:rsidR="007712E0" w:rsidRPr="000E696C" w:rsidRDefault="00EE5889" w:rsidP="00E61C3F">
      <w:pPr>
        <w:pStyle w:val="NormalWeb"/>
        <w:spacing w:before="0" w:beforeAutospacing="0" w:after="0" w:afterAutospacing="0" w:line="276" w:lineRule="auto"/>
        <w:ind w:firstLine="720"/>
        <w:jc w:val="both"/>
        <w:rPr>
          <w:rFonts w:ascii="Century Gothic" w:hAnsi="Century Gothic"/>
          <w:color w:val="000000" w:themeColor="text1"/>
        </w:rPr>
      </w:pPr>
      <w:r w:rsidRPr="000E696C">
        <w:rPr>
          <w:rFonts w:ascii="Century Gothic" w:hAnsi="Century Gothic"/>
          <w:color w:val="000000" w:themeColor="text1"/>
        </w:rPr>
        <w:t xml:space="preserve">Panamá ha decidido avanzar en la implementación de este programa, para lo cual </w:t>
      </w:r>
      <w:r w:rsidR="00FE6D94" w:rsidRPr="000E696C">
        <w:rPr>
          <w:rFonts w:ascii="Century Gothic" w:hAnsi="Century Gothic"/>
          <w:color w:val="000000" w:themeColor="text1"/>
        </w:rPr>
        <w:t xml:space="preserve">The Trust for the Americas </w:t>
      </w:r>
      <w:r w:rsidRPr="000E696C">
        <w:rPr>
          <w:rFonts w:ascii="Century Gothic" w:hAnsi="Century Gothic"/>
          <w:color w:val="000000" w:themeColor="text1"/>
        </w:rPr>
        <w:t xml:space="preserve">brindará el acompañamiento técnico respectivo dirigido a identificar la normativa y competencias institucionales, definir una gobernanza clara y </w:t>
      </w:r>
      <w:r w:rsidR="007712E0" w:rsidRPr="000E696C">
        <w:rPr>
          <w:rFonts w:ascii="Century Gothic" w:hAnsi="Century Gothic"/>
          <w:color w:val="000000" w:themeColor="text1"/>
        </w:rPr>
        <w:t>co-crea</w:t>
      </w:r>
      <w:r w:rsidRPr="000E696C">
        <w:rPr>
          <w:rFonts w:ascii="Century Gothic" w:hAnsi="Century Gothic"/>
          <w:color w:val="000000" w:themeColor="text1"/>
        </w:rPr>
        <w:t xml:space="preserve">r las soluciones necesarias que permitan la construcción </w:t>
      </w:r>
      <w:r w:rsidR="007712E0" w:rsidRPr="000E696C">
        <w:rPr>
          <w:rFonts w:ascii="Century Gothic" w:hAnsi="Century Gothic"/>
          <w:color w:val="000000" w:themeColor="text1"/>
        </w:rPr>
        <w:t>de políticas de prevención y sanción de la corrupción para el fortalecimiento democrático</w:t>
      </w:r>
      <w:r w:rsidRPr="000E696C">
        <w:rPr>
          <w:rFonts w:ascii="Century Gothic" w:hAnsi="Century Gothic"/>
          <w:color w:val="000000" w:themeColor="text1"/>
        </w:rPr>
        <w:t xml:space="preserve"> a través del uso de datos abiertos.</w:t>
      </w:r>
    </w:p>
    <w:p w14:paraId="7A8FDA4D" w14:textId="77777777" w:rsidR="000E5066" w:rsidRPr="000E696C" w:rsidRDefault="000E5066" w:rsidP="00E61C3F">
      <w:pPr>
        <w:pStyle w:val="NormalWeb"/>
        <w:spacing w:before="0" w:beforeAutospacing="0" w:after="0" w:afterAutospacing="0" w:line="276" w:lineRule="auto"/>
        <w:ind w:firstLine="720"/>
        <w:jc w:val="both"/>
        <w:rPr>
          <w:rFonts w:ascii="Century Gothic" w:hAnsi="Century Gothic"/>
          <w:color w:val="000000" w:themeColor="text1"/>
        </w:rPr>
      </w:pPr>
    </w:p>
    <w:p w14:paraId="0C39A81B" w14:textId="1A9F2588" w:rsidR="00EE5889" w:rsidRPr="00E35228" w:rsidRDefault="00EE5889" w:rsidP="00165956">
      <w:pPr>
        <w:pStyle w:val="NormalWeb"/>
        <w:spacing w:before="0" w:beforeAutospacing="0" w:after="0" w:afterAutospacing="0" w:line="276" w:lineRule="auto"/>
        <w:ind w:firstLine="720"/>
        <w:jc w:val="both"/>
        <w:rPr>
          <w:rFonts w:ascii="Century Gothic" w:hAnsi="Century Gothic"/>
          <w:color w:val="000000" w:themeColor="text1"/>
        </w:rPr>
      </w:pPr>
      <w:r w:rsidRPr="000E696C">
        <w:rPr>
          <w:rFonts w:ascii="Century Gothic" w:hAnsi="Century Gothic"/>
          <w:color w:val="000000" w:themeColor="text1"/>
        </w:rPr>
        <w:t>Esta primera entrega del apoyo técnico consiste en un mapeo y análisis de la normativa</w:t>
      </w:r>
      <w:r w:rsidR="00AF76F0" w:rsidRPr="000E696C">
        <w:rPr>
          <w:rFonts w:ascii="Century Gothic" w:hAnsi="Century Gothic"/>
          <w:color w:val="000000" w:themeColor="text1"/>
        </w:rPr>
        <w:t>, actores y</w:t>
      </w:r>
      <w:r w:rsidRPr="000E696C">
        <w:rPr>
          <w:rFonts w:ascii="Century Gothic" w:hAnsi="Century Gothic"/>
          <w:color w:val="000000" w:themeColor="text1"/>
        </w:rPr>
        <w:t xml:space="preserve"> competencias institucionales que dotan de las condiciones mínimas habilitantes para avanzar en la implementación del PIDA en Panamá.</w:t>
      </w:r>
    </w:p>
    <w:p w14:paraId="2550CC78" w14:textId="3D5A1EC9" w:rsidR="00AF76F0" w:rsidRPr="000E696C" w:rsidRDefault="00081E4C" w:rsidP="00D55217">
      <w:pPr>
        <w:pStyle w:val="Ttulo1"/>
        <w:jc w:val="both"/>
        <w:rPr>
          <w:rFonts w:ascii="Century Gothic" w:hAnsi="Century Gothic"/>
          <w:color w:val="000000" w:themeColor="text1"/>
        </w:rPr>
      </w:pPr>
      <w:bookmarkStart w:id="1" w:name="_Toc100251347"/>
      <w:r w:rsidRPr="000E696C">
        <w:rPr>
          <w:rFonts w:ascii="Century Gothic" w:hAnsi="Century Gothic"/>
          <w:color w:val="000000" w:themeColor="text1"/>
        </w:rPr>
        <w:lastRenderedPageBreak/>
        <w:t xml:space="preserve">El PIDA en </w:t>
      </w:r>
      <w:r w:rsidR="001237C2" w:rsidRPr="000E696C">
        <w:rPr>
          <w:rFonts w:ascii="Century Gothic" w:hAnsi="Century Gothic"/>
          <w:color w:val="000000" w:themeColor="text1"/>
        </w:rPr>
        <w:t>la región</w:t>
      </w:r>
      <w:bookmarkEnd w:id="1"/>
    </w:p>
    <w:p w14:paraId="5CDCBD02" w14:textId="77777777" w:rsidR="00F843DB" w:rsidRPr="000E696C" w:rsidRDefault="005C6701" w:rsidP="00D55217">
      <w:pPr>
        <w:jc w:val="both"/>
        <w:rPr>
          <w:rFonts w:ascii="Century Gothic" w:hAnsi="Century Gothic"/>
          <w:color w:val="000000" w:themeColor="text1"/>
          <w:sz w:val="24"/>
          <w:szCs w:val="24"/>
        </w:rPr>
      </w:pPr>
      <w:r w:rsidRPr="000E696C">
        <w:rPr>
          <w:rFonts w:ascii="Century Gothic" w:hAnsi="Century Gothic"/>
          <w:color w:val="000000" w:themeColor="text1"/>
          <w:sz w:val="24"/>
          <w:szCs w:val="24"/>
        </w:rPr>
        <w:tab/>
      </w:r>
    </w:p>
    <w:p w14:paraId="15CD40F3" w14:textId="723E1782" w:rsidR="00D55217" w:rsidRPr="000E696C" w:rsidRDefault="005C6701" w:rsidP="00F843DB">
      <w:pPr>
        <w:ind w:firstLine="720"/>
        <w:jc w:val="both"/>
        <w:rPr>
          <w:rFonts w:ascii="Century Gothic" w:hAnsi="Century Gothic"/>
          <w:color w:val="000000" w:themeColor="text1"/>
          <w:sz w:val="24"/>
          <w:szCs w:val="24"/>
        </w:rPr>
      </w:pPr>
      <w:r w:rsidRPr="000E696C">
        <w:rPr>
          <w:rFonts w:ascii="Century Gothic" w:hAnsi="Century Gothic"/>
          <w:color w:val="000000" w:themeColor="text1"/>
          <w:sz w:val="24"/>
          <w:szCs w:val="24"/>
        </w:rPr>
        <w:t xml:space="preserve">El Programa Interamericano de Datos Abiertos para combatir la </w:t>
      </w:r>
      <w:r w:rsidR="009D7398" w:rsidRPr="000E696C">
        <w:rPr>
          <w:rFonts w:ascii="Century Gothic" w:hAnsi="Century Gothic"/>
          <w:color w:val="000000" w:themeColor="text1"/>
          <w:sz w:val="24"/>
          <w:szCs w:val="24"/>
        </w:rPr>
        <w:t>corrupción</w:t>
      </w:r>
      <w:r w:rsidRPr="000E696C">
        <w:rPr>
          <w:rFonts w:ascii="Century Gothic" w:hAnsi="Century Gothic"/>
          <w:color w:val="000000" w:themeColor="text1"/>
          <w:sz w:val="24"/>
          <w:szCs w:val="24"/>
        </w:rPr>
        <w:t xml:space="preserve"> (PIDA)</w:t>
      </w:r>
      <w:r w:rsidR="00060885" w:rsidRPr="000E696C">
        <w:rPr>
          <w:rFonts w:ascii="Century Gothic" w:hAnsi="Century Gothic"/>
          <w:color w:val="000000" w:themeColor="text1"/>
          <w:sz w:val="24"/>
          <w:szCs w:val="24"/>
        </w:rPr>
        <w:t xml:space="preserve"> es una herramienta </w:t>
      </w:r>
      <w:r w:rsidR="00D55217" w:rsidRPr="000E696C">
        <w:rPr>
          <w:rFonts w:ascii="Century Gothic" w:hAnsi="Century Gothic"/>
          <w:color w:val="000000" w:themeColor="text1"/>
          <w:sz w:val="24"/>
          <w:szCs w:val="24"/>
        </w:rPr>
        <w:t xml:space="preserve">de carácter regional que, utilizando como premisa el derecho humano de acceso a la información pública de la ciudadanía, reconoce una serie de datos que son relevantes </w:t>
      </w:r>
      <w:r w:rsidR="00023148" w:rsidRPr="000E696C">
        <w:rPr>
          <w:rFonts w:ascii="Century Gothic" w:hAnsi="Century Gothic"/>
          <w:color w:val="000000" w:themeColor="text1"/>
          <w:sz w:val="24"/>
          <w:szCs w:val="24"/>
        </w:rPr>
        <w:t xml:space="preserve">para </w:t>
      </w:r>
      <w:proofErr w:type="spellStart"/>
      <w:r w:rsidR="00023148" w:rsidRPr="000E696C">
        <w:rPr>
          <w:rFonts w:ascii="Century Gothic" w:hAnsi="Century Gothic"/>
          <w:color w:val="000000" w:themeColor="text1"/>
          <w:sz w:val="24"/>
          <w:szCs w:val="24"/>
        </w:rPr>
        <w:t>co</w:t>
      </w:r>
      <w:proofErr w:type="spellEnd"/>
      <w:r w:rsidR="00023148" w:rsidRPr="000E696C">
        <w:rPr>
          <w:rFonts w:ascii="Century Gothic" w:hAnsi="Century Gothic"/>
          <w:color w:val="000000" w:themeColor="text1"/>
          <w:sz w:val="24"/>
          <w:szCs w:val="24"/>
        </w:rPr>
        <w:t>-crear soluciones</w:t>
      </w:r>
      <w:r w:rsidR="009D7398">
        <w:rPr>
          <w:rFonts w:ascii="Century Gothic" w:hAnsi="Century Gothic"/>
          <w:color w:val="000000" w:themeColor="text1"/>
          <w:sz w:val="24"/>
          <w:szCs w:val="24"/>
        </w:rPr>
        <w:t>,</w:t>
      </w:r>
      <w:r w:rsidR="00023148" w:rsidRPr="000E696C">
        <w:rPr>
          <w:rFonts w:ascii="Century Gothic" w:hAnsi="Century Gothic"/>
          <w:color w:val="000000" w:themeColor="text1"/>
          <w:sz w:val="24"/>
          <w:szCs w:val="24"/>
        </w:rPr>
        <w:t xml:space="preserve"> en conjunto con la ciudadanía</w:t>
      </w:r>
      <w:r w:rsidR="009D7398">
        <w:rPr>
          <w:rFonts w:ascii="Century Gothic" w:hAnsi="Century Gothic"/>
          <w:color w:val="000000" w:themeColor="text1"/>
          <w:sz w:val="24"/>
          <w:szCs w:val="24"/>
        </w:rPr>
        <w:t>,</w:t>
      </w:r>
      <w:r w:rsidR="00023148" w:rsidRPr="000E696C">
        <w:rPr>
          <w:rFonts w:ascii="Century Gothic" w:hAnsi="Century Gothic"/>
          <w:color w:val="000000" w:themeColor="text1"/>
          <w:sz w:val="24"/>
          <w:szCs w:val="24"/>
        </w:rPr>
        <w:t xml:space="preserve"> que permitan combatir la corrupción.</w:t>
      </w:r>
    </w:p>
    <w:p w14:paraId="5D3FF9C2" w14:textId="5227F314" w:rsidR="00AF76F0" w:rsidRPr="000E696C" w:rsidRDefault="00D55217" w:rsidP="00D55217">
      <w:pPr>
        <w:jc w:val="both"/>
        <w:rPr>
          <w:rFonts w:ascii="Century Gothic" w:hAnsi="Century Gothic"/>
          <w:color w:val="000000" w:themeColor="text1"/>
          <w:sz w:val="24"/>
          <w:szCs w:val="24"/>
        </w:rPr>
      </w:pPr>
      <w:r w:rsidRPr="000E696C">
        <w:rPr>
          <w:rFonts w:ascii="Century Gothic" w:hAnsi="Century Gothic"/>
          <w:color w:val="000000" w:themeColor="text1"/>
          <w:sz w:val="24"/>
          <w:szCs w:val="24"/>
        </w:rPr>
        <w:tab/>
        <w:t>Es así como</w:t>
      </w:r>
      <w:r w:rsidR="00023148" w:rsidRPr="000E696C">
        <w:rPr>
          <w:rFonts w:ascii="Century Gothic" w:hAnsi="Century Gothic"/>
          <w:color w:val="000000" w:themeColor="text1"/>
          <w:sz w:val="24"/>
          <w:szCs w:val="24"/>
        </w:rPr>
        <w:t xml:space="preserve"> se</w:t>
      </w:r>
      <w:r w:rsidR="00081E4C" w:rsidRPr="000E696C">
        <w:rPr>
          <w:rFonts w:ascii="Century Gothic" w:hAnsi="Century Gothic"/>
          <w:color w:val="000000" w:themeColor="text1"/>
          <w:sz w:val="24"/>
          <w:szCs w:val="24"/>
        </w:rPr>
        <w:t xml:space="preserve"> </w:t>
      </w:r>
      <w:r w:rsidR="00023148" w:rsidRPr="000E696C">
        <w:rPr>
          <w:rFonts w:ascii="Century Gothic" w:hAnsi="Century Gothic"/>
          <w:color w:val="000000" w:themeColor="text1"/>
          <w:sz w:val="24"/>
          <w:szCs w:val="24"/>
        </w:rPr>
        <w:t>identifica</w:t>
      </w:r>
      <w:r w:rsidR="009D7398">
        <w:rPr>
          <w:rFonts w:ascii="Century Gothic" w:hAnsi="Century Gothic"/>
          <w:color w:val="000000" w:themeColor="text1"/>
          <w:sz w:val="24"/>
          <w:szCs w:val="24"/>
        </w:rPr>
        <w:t>n los</w:t>
      </w:r>
      <w:r w:rsidR="00023148" w:rsidRPr="000E696C">
        <w:rPr>
          <w:rFonts w:ascii="Century Gothic" w:hAnsi="Century Gothic"/>
          <w:color w:val="000000" w:themeColor="text1"/>
          <w:sz w:val="24"/>
          <w:szCs w:val="24"/>
        </w:rPr>
        <w:t xml:space="preserve"> </w:t>
      </w:r>
      <w:r w:rsidR="009D7398">
        <w:rPr>
          <w:rFonts w:ascii="Century Gothic" w:hAnsi="Century Gothic"/>
          <w:color w:val="000000" w:themeColor="text1"/>
          <w:sz w:val="24"/>
          <w:szCs w:val="24"/>
        </w:rPr>
        <w:t xml:space="preserve">siguientes </w:t>
      </w:r>
      <w:r w:rsidR="00023148" w:rsidRPr="000E696C">
        <w:rPr>
          <w:rFonts w:ascii="Century Gothic" w:hAnsi="Century Gothic"/>
          <w:color w:val="000000" w:themeColor="text1"/>
          <w:sz w:val="24"/>
          <w:szCs w:val="24"/>
        </w:rPr>
        <w:t xml:space="preserve">ejes fundamentales </w:t>
      </w:r>
      <w:r w:rsidR="00081E4C" w:rsidRPr="000E696C">
        <w:rPr>
          <w:rFonts w:ascii="Century Gothic" w:hAnsi="Century Gothic"/>
          <w:color w:val="000000" w:themeColor="text1"/>
          <w:sz w:val="24"/>
          <w:szCs w:val="24"/>
        </w:rPr>
        <w:t xml:space="preserve">para una debida implementación </w:t>
      </w:r>
      <w:r w:rsidR="00023148" w:rsidRPr="000E696C">
        <w:rPr>
          <w:rFonts w:ascii="Century Gothic" w:hAnsi="Century Gothic"/>
          <w:color w:val="000000" w:themeColor="text1"/>
          <w:sz w:val="24"/>
          <w:szCs w:val="24"/>
        </w:rPr>
        <w:t>del PIDA:</w:t>
      </w:r>
    </w:p>
    <w:p w14:paraId="120060BB" w14:textId="338BA33A" w:rsidR="00692875" w:rsidRPr="000E696C" w:rsidRDefault="00692875" w:rsidP="00D55217">
      <w:pPr>
        <w:jc w:val="both"/>
        <w:rPr>
          <w:rFonts w:ascii="Century Gothic" w:hAnsi="Century Gothic"/>
          <w:color w:val="000000" w:themeColor="text1"/>
          <w:sz w:val="24"/>
          <w:szCs w:val="24"/>
        </w:rPr>
      </w:pPr>
    </w:p>
    <w:p w14:paraId="509F8469" w14:textId="36FB9F65" w:rsidR="00344EFB" w:rsidRPr="000E696C" w:rsidRDefault="00344EFB" w:rsidP="00344EFB">
      <w:pPr>
        <w:pStyle w:val="Prrafodelista"/>
        <w:numPr>
          <w:ilvl w:val="0"/>
          <w:numId w:val="9"/>
        </w:numPr>
        <w:jc w:val="both"/>
        <w:rPr>
          <w:rFonts w:ascii="Century Gothic" w:eastAsia="Times New Roman" w:hAnsi="Century Gothic" w:cs="Times New Roman"/>
          <w:color w:val="000000" w:themeColor="text1"/>
          <w:sz w:val="24"/>
          <w:szCs w:val="24"/>
          <w:lang w:val="es-CR"/>
        </w:rPr>
      </w:pPr>
      <w:r w:rsidRPr="000E696C">
        <w:rPr>
          <w:rFonts w:ascii="Century Gothic" w:hAnsi="Century Gothic"/>
          <w:b/>
          <w:iCs/>
          <w:color w:val="000000" w:themeColor="text1"/>
          <w:sz w:val="24"/>
          <w:szCs w:val="24"/>
          <w:shd w:val="clear" w:color="auto" w:fill="FFFFFF"/>
        </w:rPr>
        <w:t>Transparencia activa</w:t>
      </w:r>
      <w:r w:rsidR="009D7398">
        <w:rPr>
          <w:rFonts w:ascii="Century Gothic" w:hAnsi="Century Gothic"/>
          <w:b/>
          <w:iCs/>
          <w:color w:val="000000" w:themeColor="text1"/>
          <w:sz w:val="24"/>
          <w:szCs w:val="24"/>
          <w:shd w:val="clear" w:color="auto" w:fill="FFFFFF"/>
        </w:rPr>
        <w:t>.</w:t>
      </w:r>
      <w:r w:rsidRPr="000E696C">
        <w:rPr>
          <w:rFonts w:ascii="Century Gothic" w:hAnsi="Century Gothic"/>
          <w:b/>
          <w:iCs/>
          <w:color w:val="000000" w:themeColor="text1"/>
          <w:sz w:val="24"/>
          <w:szCs w:val="24"/>
          <w:shd w:val="clear" w:color="auto" w:fill="FFFFFF"/>
        </w:rPr>
        <w:t xml:space="preserve"> </w:t>
      </w:r>
      <w:r w:rsidR="009D7398">
        <w:rPr>
          <w:rFonts w:ascii="Century Gothic" w:eastAsia="Times New Roman" w:hAnsi="Century Gothic" w:cs="Times New Roman"/>
          <w:color w:val="000000" w:themeColor="text1"/>
          <w:sz w:val="24"/>
          <w:szCs w:val="24"/>
          <w:shd w:val="clear" w:color="auto" w:fill="FFFFFF"/>
          <w:lang w:val="es-CR"/>
        </w:rPr>
        <w:t>P</w:t>
      </w:r>
      <w:r w:rsidR="00081E4C" w:rsidRPr="000E696C">
        <w:rPr>
          <w:rFonts w:ascii="Century Gothic" w:eastAsia="Times New Roman" w:hAnsi="Century Gothic" w:cs="Times New Roman"/>
          <w:color w:val="000000" w:themeColor="text1"/>
          <w:sz w:val="24"/>
          <w:szCs w:val="24"/>
          <w:shd w:val="clear" w:color="auto" w:fill="FFFFFF"/>
          <w:lang w:val="es-CR"/>
        </w:rPr>
        <w:t>otestad</w:t>
      </w:r>
      <w:r w:rsidRPr="000E696C">
        <w:rPr>
          <w:rFonts w:ascii="Century Gothic" w:eastAsia="Times New Roman" w:hAnsi="Century Gothic" w:cs="Times New Roman"/>
          <w:color w:val="000000" w:themeColor="text1"/>
          <w:sz w:val="24"/>
          <w:szCs w:val="24"/>
          <w:shd w:val="clear" w:color="auto" w:fill="FFFFFF"/>
          <w:lang w:val="es-CR"/>
        </w:rPr>
        <w:t xml:space="preserve"> de los órganos del Estado de publicar </w:t>
      </w:r>
      <w:r w:rsidR="00081E4C" w:rsidRPr="000E696C">
        <w:rPr>
          <w:rFonts w:ascii="Century Gothic" w:eastAsia="Times New Roman" w:hAnsi="Century Gothic" w:cs="Times New Roman"/>
          <w:color w:val="000000" w:themeColor="text1"/>
          <w:sz w:val="24"/>
          <w:szCs w:val="24"/>
          <w:shd w:val="clear" w:color="auto" w:fill="FFFFFF"/>
          <w:lang w:val="es-CR"/>
        </w:rPr>
        <w:t>de manera proactiva toda aquella información</w:t>
      </w:r>
      <w:r w:rsidRPr="000E696C">
        <w:rPr>
          <w:rFonts w:ascii="Century Gothic" w:eastAsia="Times New Roman" w:hAnsi="Century Gothic" w:cs="Times New Roman"/>
          <w:color w:val="000000" w:themeColor="text1"/>
          <w:sz w:val="24"/>
          <w:szCs w:val="24"/>
          <w:shd w:val="clear" w:color="auto" w:fill="FFFFFF"/>
          <w:lang w:val="es-CR"/>
        </w:rPr>
        <w:t xml:space="preserve"> útil, oportuna y relevante, de manera permanente </w:t>
      </w:r>
      <w:r w:rsidR="00081E4C" w:rsidRPr="000E696C">
        <w:rPr>
          <w:rFonts w:ascii="Century Gothic" w:eastAsia="Times New Roman" w:hAnsi="Century Gothic" w:cs="Times New Roman"/>
          <w:color w:val="000000" w:themeColor="text1"/>
          <w:sz w:val="24"/>
          <w:szCs w:val="24"/>
          <w:shd w:val="clear" w:color="auto" w:fill="FFFFFF"/>
          <w:lang w:val="es-CR"/>
        </w:rPr>
        <w:t>y actualizada</w:t>
      </w:r>
      <w:r w:rsidR="00886947">
        <w:rPr>
          <w:rFonts w:ascii="Century Gothic" w:eastAsia="Times New Roman" w:hAnsi="Century Gothic" w:cs="Times New Roman"/>
          <w:color w:val="000000" w:themeColor="text1"/>
          <w:sz w:val="24"/>
          <w:szCs w:val="24"/>
          <w:shd w:val="clear" w:color="auto" w:fill="FFFFFF"/>
          <w:lang w:val="es-CR"/>
        </w:rPr>
        <w:t>,</w:t>
      </w:r>
      <w:r w:rsidR="00081E4C" w:rsidRPr="000E696C">
        <w:rPr>
          <w:rFonts w:ascii="Century Gothic" w:eastAsia="Times New Roman" w:hAnsi="Century Gothic" w:cs="Times New Roman"/>
          <w:color w:val="000000" w:themeColor="text1"/>
          <w:sz w:val="24"/>
          <w:szCs w:val="24"/>
          <w:shd w:val="clear" w:color="auto" w:fill="FFFFFF"/>
          <w:lang w:val="es-CR"/>
        </w:rPr>
        <w:t xml:space="preserve"> sin que sea necesario una solicitud formal de dicha información.</w:t>
      </w:r>
    </w:p>
    <w:p w14:paraId="3F6585BB" w14:textId="77777777" w:rsidR="00344EFB" w:rsidRPr="000E696C" w:rsidRDefault="00344EFB" w:rsidP="00344EFB">
      <w:pPr>
        <w:ind w:left="360"/>
        <w:jc w:val="both"/>
        <w:rPr>
          <w:rFonts w:ascii="Century Gothic" w:eastAsia="Times New Roman" w:hAnsi="Century Gothic" w:cs="Times New Roman"/>
          <w:color w:val="000000" w:themeColor="text1"/>
          <w:sz w:val="24"/>
          <w:szCs w:val="24"/>
          <w:lang w:val="es-CR"/>
        </w:rPr>
      </w:pPr>
    </w:p>
    <w:p w14:paraId="159CF8B2" w14:textId="0483C292" w:rsidR="00344EFB" w:rsidRPr="000E696C" w:rsidRDefault="00344EFB" w:rsidP="00081E4C">
      <w:pPr>
        <w:pStyle w:val="Prrafodelista"/>
        <w:numPr>
          <w:ilvl w:val="0"/>
          <w:numId w:val="9"/>
        </w:numPr>
        <w:jc w:val="both"/>
        <w:rPr>
          <w:rFonts w:ascii="Century Gothic" w:eastAsia="Times New Roman" w:hAnsi="Century Gothic" w:cs="Times New Roman"/>
          <w:color w:val="000000" w:themeColor="text1"/>
          <w:sz w:val="24"/>
          <w:szCs w:val="24"/>
          <w:lang w:val="es-CR"/>
        </w:rPr>
      </w:pPr>
      <w:r w:rsidRPr="000E696C">
        <w:rPr>
          <w:rFonts w:ascii="Century Gothic" w:hAnsi="Century Gothic"/>
          <w:b/>
          <w:iCs/>
          <w:color w:val="000000" w:themeColor="text1"/>
          <w:sz w:val="24"/>
          <w:szCs w:val="24"/>
          <w:shd w:val="clear" w:color="auto" w:fill="FFFFFF"/>
        </w:rPr>
        <w:t>Acceso a la información como derecho humano</w:t>
      </w:r>
      <w:r w:rsidR="009D7398">
        <w:rPr>
          <w:rFonts w:ascii="Century Gothic" w:hAnsi="Century Gothic"/>
          <w:b/>
          <w:iCs/>
          <w:color w:val="000000" w:themeColor="text1"/>
          <w:sz w:val="24"/>
          <w:szCs w:val="24"/>
          <w:shd w:val="clear" w:color="auto" w:fill="FFFFFF"/>
        </w:rPr>
        <w:t>.</w:t>
      </w:r>
      <w:r w:rsidRPr="000E696C">
        <w:rPr>
          <w:rFonts w:ascii="Century Gothic" w:hAnsi="Century Gothic"/>
          <w:b/>
          <w:iCs/>
          <w:color w:val="000000" w:themeColor="text1"/>
          <w:sz w:val="24"/>
          <w:szCs w:val="24"/>
          <w:shd w:val="clear" w:color="auto" w:fill="FFFFFF"/>
        </w:rPr>
        <w:t xml:space="preserve"> </w:t>
      </w:r>
      <w:r w:rsidR="00081E4C" w:rsidRPr="000E696C">
        <w:rPr>
          <w:rFonts w:ascii="Century Gothic" w:eastAsia="Times New Roman" w:hAnsi="Century Gothic" w:cs="Times New Roman"/>
          <w:i/>
          <w:iCs/>
          <w:color w:val="000000" w:themeColor="text1"/>
          <w:sz w:val="24"/>
          <w:szCs w:val="24"/>
          <w:lang w:val="es-CR"/>
        </w:rPr>
        <w:t xml:space="preserve">Consiste en el derecho </w:t>
      </w:r>
      <w:r w:rsidR="009D7398">
        <w:rPr>
          <w:rFonts w:ascii="Century Gothic" w:eastAsia="Times New Roman" w:hAnsi="Century Gothic" w:cs="Times New Roman"/>
          <w:i/>
          <w:iCs/>
          <w:color w:val="000000" w:themeColor="text1"/>
          <w:sz w:val="24"/>
          <w:szCs w:val="24"/>
          <w:lang w:val="es-CR"/>
        </w:rPr>
        <w:t xml:space="preserve">que tiene </w:t>
      </w:r>
      <w:r w:rsidR="00081E4C" w:rsidRPr="000E696C">
        <w:rPr>
          <w:rFonts w:ascii="Century Gothic" w:eastAsia="Times New Roman" w:hAnsi="Century Gothic" w:cs="Times New Roman"/>
          <w:i/>
          <w:iCs/>
          <w:color w:val="000000" w:themeColor="text1"/>
          <w:sz w:val="24"/>
          <w:szCs w:val="24"/>
          <w:lang w:val="es-CR"/>
        </w:rPr>
        <w:t>una persona de buscar y recibir información en poder de órganos, entes y empresas públicas, exceptuando casos en que la información sea calificada como secreto de estado o de acceso restringido por la</w:t>
      </w:r>
      <w:r w:rsidR="009D7398">
        <w:rPr>
          <w:rFonts w:ascii="Century Gothic" w:eastAsia="Times New Roman" w:hAnsi="Century Gothic" w:cs="Times New Roman"/>
          <w:i/>
          <w:iCs/>
          <w:color w:val="000000" w:themeColor="text1"/>
          <w:sz w:val="24"/>
          <w:szCs w:val="24"/>
          <w:lang w:val="es-CR"/>
        </w:rPr>
        <w:t xml:space="preserve"> </w:t>
      </w:r>
      <w:r w:rsidR="00081E4C" w:rsidRPr="000E696C">
        <w:rPr>
          <w:rFonts w:ascii="Century Gothic" w:eastAsia="Times New Roman" w:hAnsi="Century Gothic" w:cs="Times New Roman"/>
          <w:i/>
          <w:iCs/>
          <w:color w:val="000000" w:themeColor="text1"/>
          <w:sz w:val="24"/>
          <w:szCs w:val="24"/>
          <w:lang w:val="es-CR"/>
        </w:rPr>
        <w:t>Constitución y/o por alguna ley.</w:t>
      </w:r>
      <w:r w:rsidR="009D7398">
        <w:rPr>
          <w:rFonts w:ascii="Century Gothic" w:eastAsia="Times New Roman" w:hAnsi="Century Gothic" w:cs="Times New Roman"/>
          <w:i/>
          <w:iCs/>
          <w:color w:val="000000" w:themeColor="text1"/>
          <w:sz w:val="24"/>
          <w:szCs w:val="24"/>
          <w:lang w:val="es-CR"/>
        </w:rPr>
        <w:t xml:space="preserve"> </w:t>
      </w:r>
      <w:r w:rsidR="00081E4C" w:rsidRPr="000E696C">
        <w:rPr>
          <w:rFonts w:ascii="Century Gothic" w:eastAsia="Times New Roman" w:hAnsi="Century Gothic" w:cs="Times New Roman"/>
          <w:i/>
          <w:iCs/>
          <w:color w:val="000000" w:themeColor="text1"/>
          <w:sz w:val="24"/>
          <w:szCs w:val="24"/>
          <w:lang w:val="es-CR"/>
        </w:rPr>
        <w:t>El derecho al acceso a información es un derecho fundamental para el desarrollo pleno de una sociedad democrática y transparente, y un ejercicio vital para la rendición de cuentas de las autoridades. Es un derecho</w:t>
      </w:r>
      <w:r w:rsidR="009D7398">
        <w:rPr>
          <w:rFonts w:ascii="Century Gothic" w:eastAsia="Times New Roman" w:hAnsi="Century Gothic" w:cs="Times New Roman"/>
          <w:i/>
          <w:iCs/>
          <w:color w:val="000000" w:themeColor="text1"/>
          <w:sz w:val="24"/>
          <w:szCs w:val="24"/>
          <w:lang w:val="es-CR"/>
        </w:rPr>
        <w:t xml:space="preserve"> </w:t>
      </w:r>
      <w:r w:rsidR="00081E4C" w:rsidRPr="000E696C">
        <w:rPr>
          <w:rFonts w:ascii="Century Gothic" w:eastAsia="Times New Roman" w:hAnsi="Century Gothic" w:cs="Times New Roman"/>
          <w:i/>
          <w:iCs/>
          <w:color w:val="000000" w:themeColor="text1"/>
          <w:sz w:val="24"/>
          <w:szCs w:val="24"/>
          <w:lang w:val="es-CR"/>
        </w:rPr>
        <w:t>multiplicador</w:t>
      </w:r>
      <w:r w:rsidR="009D7398">
        <w:rPr>
          <w:rFonts w:ascii="Century Gothic" w:eastAsia="Times New Roman" w:hAnsi="Century Gothic" w:cs="Times New Roman"/>
          <w:i/>
          <w:iCs/>
          <w:color w:val="000000" w:themeColor="text1"/>
          <w:sz w:val="24"/>
          <w:szCs w:val="24"/>
          <w:lang w:val="es-CR"/>
        </w:rPr>
        <w:t xml:space="preserve"> </w:t>
      </w:r>
      <w:r w:rsidR="00081E4C" w:rsidRPr="000E696C">
        <w:rPr>
          <w:rFonts w:ascii="Century Gothic" w:eastAsia="Times New Roman" w:hAnsi="Century Gothic" w:cs="Times New Roman"/>
          <w:i/>
          <w:iCs/>
          <w:color w:val="000000" w:themeColor="text1"/>
          <w:sz w:val="24"/>
          <w:szCs w:val="24"/>
          <w:lang w:val="es-CR"/>
        </w:rPr>
        <w:t>de otros derechos, ya que es necesario para poder ejercer</w:t>
      </w:r>
      <w:r w:rsidR="009D7398">
        <w:rPr>
          <w:rFonts w:ascii="Century Gothic" w:eastAsia="Times New Roman" w:hAnsi="Century Gothic" w:cs="Times New Roman"/>
          <w:i/>
          <w:iCs/>
          <w:color w:val="000000" w:themeColor="text1"/>
          <w:sz w:val="24"/>
          <w:szCs w:val="24"/>
          <w:lang w:val="es-CR"/>
        </w:rPr>
        <w:t xml:space="preserve"> </w:t>
      </w:r>
      <w:r w:rsidR="00081E4C" w:rsidRPr="000E696C">
        <w:rPr>
          <w:rFonts w:ascii="Century Gothic" w:eastAsia="Times New Roman" w:hAnsi="Century Gothic" w:cs="Times New Roman"/>
          <w:i/>
          <w:iCs/>
          <w:color w:val="000000" w:themeColor="text1"/>
          <w:sz w:val="24"/>
          <w:szCs w:val="24"/>
          <w:lang w:val="es-CR"/>
        </w:rPr>
        <w:t>plenamente</w:t>
      </w:r>
      <w:r w:rsidR="009D7398">
        <w:rPr>
          <w:rFonts w:ascii="Century Gothic" w:eastAsia="Times New Roman" w:hAnsi="Century Gothic" w:cs="Times New Roman"/>
          <w:i/>
          <w:iCs/>
          <w:color w:val="000000" w:themeColor="text1"/>
          <w:sz w:val="24"/>
          <w:szCs w:val="24"/>
          <w:lang w:val="es-CR"/>
        </w:rPr>
        <w:t xml:space="preserve"> </w:t>
      </w:r>
      <w:r w:rsidR="00081E4C" w:rsidRPr="000E696C">
        <w:rPr>
          <w:rFonts w:ascii="Century Gothic" w:eastAsia="Times New Roman" w:hAnsi="Century Gothic" w:cs="Times New Roman"/>
          <w:i/>
          <w:iCs/>
          <w:color w:val="000000" w:themeColor="text1"/>
          <w:sz w:val="24"/>
          <w:szCs w:val="24"/>
          <w:lang w:val="es-CR"/>
        </w:rPr>
        <w:t>nuestros derechos.</w:t>
      </w:r>
      <w:r w:rsidR="00081E4C" w:rsidRPr="000E696C">
        <w:rPr>
          <w:rStyle w:val="Refdenotaalpie"/>
          <w:rFonts w:ascii="Century Gothic" w:eastAsia="Times New Roman" w:hAnsi="Century Gothic" w:cs="Times New Roman"/>
          <w:i/>
          <w:iCs/>
          <w:color w:val="000000" w:themeColor="text1"/>
          <w:sz w:val="24"/>
          <w:szCs w:val="24"/>
          <w:lang w:val="es-CR"/>
        </w:rPr>
        <w:footnoteReference w:id="2"/>
      </w:r>
    </w:p>
    <w:p w14:paraId="41FD8507" w14:textId="77777777" w:rsidR="00344EFB" w:rsidRPr="000E696C" w:rsidRDefault="00344EFB" w:rsidP="00344EFB">
      <w:pPr>
        <w:pStyle w:val="Prrafodelista"/>
        <w:rPr>
          <w:rFonts w:ascii="Century Gothic" w:hAnsi="Century Gothic"/>
          <w:b/>
          <w:iCs/>
          <w:color w:val="000000" w:themeColor="text1"/>
          <w:sz w:val="24"/>
          <w:szCs w:val="24"/>
          <w:shd w:val="clear" w:color="auto" w:fill="FFFFFF"/>
        </w:rPr>
      </w:pPr>
    </w:p>
    <w:p w14:paraId="09C33687" w14:textId="39AB2F7C" w:rsidR="00344EFB" w:rsidRPr="000E696C" w:rsidRDefault="00081E4C" w:rsidP="00081E4C">
      <w:pPr>
        <w:pStyle w:val="Prrafodelista"/>
        <w:numPr>
          <w:ilvl w:val="0"/>
          <w:numId w:val="9"/>
        </w:numPr>
        <w:jc w:val="both"/>
        <w:rPr>
          <w:rFonts w:ascii="Century Gothic" w:hAnsi="Century Gothic"/>
          <w:i/>
          <w:iCs/>
          <w:color w:val="000000" w:themeColor="text1"/>
          <w:sz w:val="24"/>
          <w:szCs w:val="24"/>
        </w:rPr>
      </w:pPr>
      <w:r w:rsidRPr="000E696C">
        <w:rPr>
          <w:rFonts w:ascii="Century Gothic" w:hAnsi="Century Gothic"/>
          <w:b/>
          <w:iCs/>
          <w:color w:val="000000" w:themeColor="text1"/>
          <w:sz w:val="24"/>
          <w:szCs w:val="24"/>
          <w:shd w:val="clear" w:color="auto" w:fill="FFFFFF"/>
        </w:rPr>
        <w:t>Datos Abiertos</w:t>
      </w:r>
      <w:r w:rsidR="009D7398">
        <w:rPr>
          <w:rFonts w:ascii="Century Gothic" w:hAnsi="Century Gothic"/>
          <w:b/>
          <w:iCs/>
          <w:color w:val="000000" w:themeColor="text1"/>
          <w:sz w:val="24"/>
          <w:szCs w:val="24"/>
          <w:shd w:val="clear" w:color="auto" w:fill="FFFFFF"/>
        </w:rPr>
        <w:t xml:space="preserve">. </w:t>
      </w:r>
      <w:r w:rsidR="009D7398">
        <w:rPr>
          <w:rFonts w:ascii="Century Gothic" w:hAnsi="Century Gothic"/>
          <w:i/>
          <w:iCs/>
          <w:color w:val="000000" w:themeColor="text1"/>
          <w:sz w:val="24"/>
          <w:szCs w:val="24"/>
        </w:rPr>
        <w:t>D</w:t>
      </w:r>
      <w:r w:rsidRPr="000E696C">
        <w:rPr>
          <w:rFonts w:ascii="Century Gothic" w:hAnsi="Century Gothic"/>
          <w:i/>
          <w:iCs/>
          <w:color w:val="000000" w:themeColor="text1"/>
          <w:sz w:val="24"/>
          <w:szCs w:val="24"/>
        </w:rPr>
        <w:t>atos digitales que son puestos a disposición del público con las características técnicas y jurídicas necesarias para que puedan ser usados, reutilizados y redistribuidos libremente por cualquier persona, en cualquier momento y en cualquier lugar.</w:t>
      </w:r>
      <w:r w:rsidRPr="000E696C">
        <w:rPr>
          <w:rStyle w:val="Refdenotaalpie"/>
          <w:rFonts w:ascii="Century Gothic" w:hAnsi="Century Gothic"/>
          <w:i/>
          <w:iCs/>
          <w:color w:val="000000" w:themeColor="text1"/>
          <w:sz w:val="24"/>
          <w:szCs w:val="24"/>
        </w:rPr>
        <w:footnoteReference w:id="3"/>
      </w:r>
    </w:p>
    <w:p w14:paraId="7753DBA6" w14:textId="77777777" w:rsidR="00344EFB" w:rsidRPr="000E696C" w:rsidRDefault="00344EFB" w:rsidP="00344EFB">
      <w:pPr>
        <w:pStyle w:val="Prrafodelista"/>
        <w:jc w:val="both"/>
        <w:rPr>
          <w:rFonts w:ascii="Century Gothic" w:hAnsi="Century Gothic"/>
          <w:iCs/>
          <w:color w:val="000000" w:themeColor="text1"/>
          <w:sz w:val="24"/>
          <w:szCs w:val="24"/>
          <w:shd w:val="clear" w:color="auto" w:fill="FFFFFF"/>
        </w:rPr>
      </w:pPr>
    </w:p>
    <w:p w14:paraId="157AA20C" w14:textId="1BE47393" w:rsidR="00344EFB" w:rsidRPr="000E696C" w:rsidRDefault="00344EFB" w:rsidP="007E2DE6">
      <w:pPr>
        <w:pStyle w:val="Prrafodelista"/>
        <w:numPr>
          <w:ilvl w:val="0"/>
          <w:numId w:val="9"/>
        </w:numPr>
        <w:jc w:val="both"/>
        <w:rPr>
          <w:rFonts w:ascii="Century Gothic" w:hAnsi="Century Gothic"/>
          <w:b/>
          <w:iCs/>
          <w:color w:val="000000" w:themeColor="text1"/>
          <w:sz w:val="24"/>
          <w:szCs w:val="24"/>
          <w:shd w:val="clear" w:color="auto" w:fill="FFFFFF"/>
        </w:rPr>
      </w:pPr>
      <w:r w:rsidRPr="000E696C">
        <w:rPr>
          <w:rFonts w:ascii="Century Gothic" w:hAnsi="Century Gothic"/>
          <w:b/>
          <w:iCs/>
          <w:color w:val="000000" w:themeColor="text1"/>
          <w:sz w:val="24"/>
          <w:szCs w:val="24"/>
          <w:shd w:val="clear" w:color="auto" w:fill="FFFFFF"/>
        </w:rPr>
        <w:t>Tecnologías de la Información y la Comunicación</w:t>
      </w:r>
      <w:r w:rsidR="00886947">
        <w:rPr>
          <w:rFonts w:ascii="Century Gothic" w:hAnsi="Century Gothic"/>
          <w:b/>
          <w:iCs/>
          <w:color w:val="000000" w:themeColor="text1"/>
          <w:sz w:val="24"/>
          <w:szCs w:val="24"/>
          <w:shd w:val="clear" w:color="auto" w:fill="FFFFFF"/>
        </w:rPr>
        <w:t xml:space="preserve"> (</w:t>
      </w:r>
      <w:proofErr w:type="spellStart"/>
      <w:r w:rsidR="00886947">
        <w:rPr>
          <w:rFonts w:ascii="Century Gothic" w:hAnsi="Century Gothic"/>
          <w:b/>
          <w:iCs/>
          <w:color w:val="000000" w:themeColor="text1"/>
          <w:sz w:val="24"/>
          <w:szCs w:val="24"/>
          <w:shd w:val="clear" w:color="auto" w:fill="FFFFFF"/>
        </w:rPr>
        <w:t>TIC’s</w:t>
      </w:r>
      <w:proofErr w:type="spellEnd"/>
      <w:r w:rsidR="00886947">
        <w:rPr>
          <w:rFonts w:ascii="Century Gothic" w:hAnsi="Century Gothic"/>
          <w:b/>
          <w:iCs/>
          <w:color w:val="000000" w:themeColor="text1"/>
          <w:sz w:val="24"/>
          <w:szCs w:val="24"/>
          <w:shd w:val="clear" w:color="auto" w:fill="FFFFFF"/>
        </w:rPr>
        <w:t>)</w:t>
      </w:r>
      <w:r w:rsidR="009D7398">
        <w:rPr>
          <w:rFonts w:ascii="Century Gothic" w:hAnsi="Century Gothic"/>
          <w:b/>
          <w:iCs/>
          <w:color w:val="000000" w:themeColor="text1"/>
          <w:sz w:val="24"/>
          <w:szCs w:val="24"/>
          <w:shd w:val="clear" w:color="auto" w:fill="FFFFFF"/>
        </w:rPr>
        <w:t xml:space="preserve">. </w:t>
      </w:r>
      <w:r w:rsidR="009D7398" w:rsidRPr="009D7398">
        <w:rPr>
          <w:rFonts w:ascii="Century Gothic" w:hAnsi="Century Gothic"/>
          <w:iCs/>
          <w:color w:val="000000" w:themeColor="text1"/>
          <w:sz w:val="24"/>
          <w:szCs w:val="24"/>
          <w:shd w:val="clear" w:color="auto" w:fill="FFFFFF"/>
        </w:rPr>
        <w:t>H</w:t>
      </w:r>
      <w:r w:rsidRPr="000E696C">
        <w:rPr>
          <w:rFonts w:ascii="Century Gothic" w:hAnsi="Century Gothic"/>
          <w:iCs/>
          <w:color w:val="000000" w:themeColor="text1"/>
          <w:sz w:val="24"/>
          <w:szCs w:val="24"/>
          <w:shd w:val="clear" w:color="auto" w:fill="FFFFFF"/>
        </w:rPr>
        <w:t xml:space="preserve">erramientas y facilidades tecnológicas generan un acercamiento de la ciudadanía con la dinámica institucional, con el riesgo de generar brechas sociales y tecnológicas que deben ser atendidas de manera oportuna por los Estados </w:t>
      </w:r>
      <w:r w:rsidR="00232094" w:rsidRPr="000E696C">
        <w:rPr>
          <w:rFonts w:ascii="Century Gothic" w:hAnsi="Century Gothic"/>
          <w:iCs/>
          <w:color w:val="000000" w:themeColor="text1"/>
          <w:sz w:val="24"/>
          <w:szCs w:val="24"/>
          <w:shd w:val="clear" w:color="auto" w:fill="FFFFFF"/>
        </w:rPr>
        <w:t>para que</w:t>
      </w:r>
      <w:r w:rsidRPr="000E696C">
        <w:rPr>
          <w:rFonts w:ascii="Century Gothic" w:hAnsi="Century Gothic"/>
          <w:iCs/>
          <w:color w:val="000000" w:themeColor="text1"/>
          <w:sz w:val="24"/>
          <w:szCs w:val="24"/>
          <w:shd w:val="clear" w:color="auto" w:fill="FFFFFF"/>
        </w:rPr>
        <w:t xml:space="preserve"> las TIC se conviertan en aliadas para la igualdad social. </w:t>
      </w:r>
    </w:p>
    <w:p w14:paraId="3DBDA515" w14:textId="5D09F7C3" w:rsidR="00344EFB" w:rsidRPr="000E696C" w:rsidRDefault="00344EFB" w:rsidP="00344EFB">
      <w:pPr>
        <w:jc w:val="both"/>
        <w:rPr>
          <w:rFonts w:ascii="Century Gothic" w:hAnsi="Century Gothic"/>
          <w:iCs/>
          <w:color w:val="000000" w:themeColor="text1"/>
          <w:sz w:val="24"/>
          <w:szCs w:val="24"/>
          <w:shd w:val="clear" w:color="auto" w:fill="FFFFFF"/>
        </w:rPr>
      </w:pPr>
    </w:p>
    <w:p w14:paraId="6272D3E5" w14:textId="77777777" w:rsidR="007E2DE6" w:rsidRPr="000E696C" w:rsidRDefault="007E2DE6" w:rsidP="00344EFB">
      <w:pPr>
        <w:jc w:val="both"/>
        <w:rPr>
          <w:rFonts w:ascii="Century Gothic" w:hAnsi="Century Gothic"/>
          <w:iCs/>
          <w:color w:val="000000" w:themeColor="text1"/>
          <w:sz w:val="24"/>
          <w:szCs w:val="24"/>
          <w:shd w:val="clear" w:color="auto" w:fill="FFFFFF"/>
        </w:rPr>
      </w:pPr>
    </w:p>
    <w:p w14:paraId="438354D4" w14:textId="6A861C07" w:rsidR="007E2DE6" w:rsidRPr="000E696C" w:rsidRDefault="00344EFB" w:rsidP="007D1A7A">
      <w:pPr>
        <w:pStyle w:val="Prrafodelista"/>
        <w:numPr>
          <w:ilvl w:val="0"/>
          <w:numId w:val="9"/>
        </w:numPr>
        <w:jc w:val="both"/>
        <w:rPr>
          <w:rFonts w:ascii="Century Gothic" w:eastAsia="Times New Roman" w:hAnsi="Century Gothic" w:cs="Times New Roman"/>
          <w:color w:val="000000" w:themeColor="text1"/>
          <w:sz w:val="24"/>
          <w:szCs w:val="24"/>
          <w:lang w:val="es-CR"/>
        </w:rPr>
      </w:pPr>
      <w:r w:rsidRPr="000E696C">
        <w:rPr>
          <w:rFonts w:ascii="Century Gothic" w:hAnsi="Century Gothic"/>
          <w:b/>
          <w:iCs/>
          <w:color w:val="000000" w:themeColor="text1"/>
          <w:sz w:val="24"/>
          <w:szCs w:val="24"/>
          <w:shd w:val="clear" w:color="auto" w:fill="FFFFFF"/>
        </w:rPr>
        <w:t>Participación Ciudadana</w:t>
      </w:r>
      <w:r w:rsidR="009D7398">
        <w:rPr>
          <w:rFonts w:ascii="Century Gothic" w:hAnsi="Century Gothic"/>
          <w:b/>
          <w:iCs/>
          <w:color w:val="000000" w:themeColor="text1"/>
          <w:sz w:val="24"/>
          <w:szCs w:val="24"/>
          <w:shd w:val="clear" w:color="auto" w:fill="FFFFFF"/>
        </w:rPr>
        <w:t>.</w:t>
      </w:r>
      <w:r w:rsidR="007E2DE6" w:rsidRPr="000E696C">
        <w:rPr>
          <w:rFonts w:ascii="Century Gothic" w:hAnsi="Century Gothic"/>
          <w:b/>
          <w:iCs/>
          <w:color w:val="000000" w:themeColor="text1"/>
          <w:sz w:val="24"/>
          <w:szCs w:val="24"/>
          <w:shd w:val="clear" w:color="auto" w:fill="FFFFFF"/>
        </w:rPr>
        <w:t xml:space="preserve"> </w:t>
      </w:r>
      <w:r w:rsidR="007E2DE6" w:rsidRPr="000E696C">
        <w:rPr>
          <w:rFonts w:ascii="Century Gothic" w:eastAsia="Times New Roman" w:hAnsi="Century Gothic" w:cs="Times New Roman"/>
          <w:i/>
          <w:iCs/>
          <w:color w:val="000000" w:themeColor="text1"/>
          <w:sz w:val="24"/>
          <w:szCs w:val="24"/>
          <w:lang w:val="es-CR"/>
        </w:rPr>
        <w:t>La participación ciudadana en la gestión pública implica un proceso de construcción social de las políticas públicas. Es un derecho, una responsabilidad y un complemento de los mecanismos tradicionales de representación política.</w:t>
      </w:r>
      <w:r w:rsidR="007D1A7A" w:rsidRPr="000E696C">
        <w:rPr>
          <w:rStyle w:val="Refdenotaalpie"/>
          <w:rFonts w:ascii="Century Gothic" w:eastAsia="Times New Roman" w:hAnsi="Century Gothic" w:cs="Times New Roman"/>
          <w:i/>
          <w:iCs/>
          <w:color w:val="000000" w:themeColor="text1"/>
          <w:sz w:val="24"/>
          <w:szCs w:val="24"/>
          <w:lang w:val="es-CR"/>
        </w:rPr>
        <w:t xml:space="preserve"> </w:t>
      </w:r>
      <w:r w:rsidR="007D1A7A" w:rsidRPr="000E696C">
        <w:rPr>
          <w:rStyle w:val="Refdenotaalpie"/>
          <w:rFonts w:ascii="Century Gothic" w:eastAsia="Times New Roman" w:hAnsi="Century Gothic" w:cs="Times New Roman"/>
          <w:i/>
          <w:iCs/>
          <w:color w:val="000000" w:themeColor="text1"/>
          <w:sz w:val="24"/>
          <w:szCs w:val="24"/>
          <w:lang w:val="es-CR"/>
        </w:rPr>
        <w:footnoteReference w:id="4"/>
      </w:r>
      <w:r w:rsidR="007D1A7A" w:rsidRPr="000E696C">
        <w:rPr>
          <w:rFonts w:ascii="Century Gothic" w:hAnsi="Century Gothic"/>
          <w:color w:val="000000" w:themeColor="text1"/>
          <w:shd w:val="clear" w:color="auto" w:fill="FFFFFF"/>
        </w:rPr>
        <w:t xml:space="preserve"> </w:t>
      </w:r>
      <w:r w:rsidR="007D1A7A" w:rsidRPr="000E696C">
        <w:rPr>
          <w:rFonts w:ascii="Century Gothic" w:eastAsia="Times New Roman" w:hAnsi="Century Gothic" w:cs="Times New Roman"/>
          <w:i/>
          <w:iCs/>
          <w:color w:val="000000" w:themeColor="text1"/>
          <w:sz w:val="24"/>
          <w:szCs w:val="24"/>
          <w:shd w:val="clear" w:color="auto" w:fill="FFFFFF"/>
          <w:lang w:val="es-CR"/>
        </w:rPr>
        <w:t>Para mejorar la calidad de las políticas públicas es de gran importancia que la participación ciudadana sea temprana y oportuna, es decir, que la misma esté presente desde el momento del diagnóstico de las problemáticas sociales que buscan solucionar las políticas públicas.</w:t>
      </w:r>
      <w:r w:rsidR="007D1A7A" w:rsidRPr="000E696C">
        <w:rPr>
          <w:rStyle w:val="Refdenotaalpie"/>
          <w:rFonts w:ascii="Century Gothic" w:eastAsia="Times New Roman" w:hAnsi="Century Gothic" w:cs="Times New Roman"/>
          <w:i/>
          <w:iCs/>
          <w:color w:val="000000" w:themeColor="text1"/>
          <w:sz w:val="24"/>
          <w:szCs w:val="24"/>
          <w:shd w:val="clear" w:color="auto" w:fill="FFFFFF"/>
          <w:lang w:val="es-CR"/>
        </w:rPr>
        <w:footnoteReference w:id="5"/>
      </w:r>
      <w:r w:rsidR="007D1A7A" w:rsidRPr="000E696C">
        <w:rPr>
          <w:rFonts w:ascii="Century Gothic" w:eastAsia="Times New Roman" w:hAnsi="Century Gothic" w:cs="Times New Roman"/>
          <w:color w:val="000000" w:themeColor="text1"/>
          <w:sz w:val="24"/>
          <w:szCs w:val="24"/>
          <w:shd w:val="clear" w:color="auto" w:fill="FFFFFF"/>
          <w:lang w:val="es-CR"/>
        </w:rPr>
        <w:t> </w:t>
      </w:r>
    </w:p>
    <w:p w14:paraId="1EFAFA13" w14:textId="205A1346" w:rsidR="00344EFB" w:rsidRPr="000E696C" w:rsidRDefault="00344EFB" w:rsidP="007E2DE6">
      <w:pPr>
        <w:pStyle w:val="Prrafodelista"/>
        <w:jc w:val="both"/>
        <w:rPr>
          <w:rFonts w:ascii="Century Gothic" w:hAnsi="Century Gothic"/>
          <w:iCs/>
          <w:color w:val="000000" w:themeColor="text1"/>
          <w:sz w:val="24"/>
          <w:szCs w:val="24"/>
          <w:shd w:val="clear" w:color="auto" w:fill="FFFFFF"/>
        </w:rPr>
      </w:pPr>
    </w:p>
    <w:p w14:paraId="65CCD702" w14:textId="3028AC67" w:rsidR="00344EFB" w:rsidRPr="000E696C" w:rsidRDefault="00344EFB" w:rsidP="007E2DE6">
      <w:pPr>
        <w:pStyle w:val="Prrafodelista"/>
        <w:numPr>
          <w:ilvl w:val="0"/>
          <w:numId w:val="9"/>
        </w:numPr>
        <w:jc w:val="both"/>
        <w:rPr>
          <w:rFonts w:ascii="Century Gothic" w:hAnsi="Century Gothic"/>
          <w:b/>
          <w:iCs/>
          <w:color w:val="000000" w:themeColor="text1"/>
          <w:sz w:val="24"/>
          <w:szCs w:val="24"/>
          <w:shd w:val="clear" w:color="auto" w:fill="FFFFFF"/>
        </w:rPr>
      </w:pPr>
      <w:r w:rsidRPr="000E696C">
        <w:rPr>
          <w:rFonts w:ascii="Century Gothic" w:hAnsi="Century Gothic"/>
          <w:b/>
          <w:iCs/>
          <w:color w:val="000000" w:themeColor="text1"/>
          <w:sz w:val="24"/>
          <w:szCs w:val="24"/>
          <w:shd w:val="clear" w:color="auto" w:fill="FFFFFF"/>
        </w:rPr>
        <w:t>Co-creación</w:t>
      </w:r>
      <w:r w:rsidR="009D7398">
        <w:rPr>
          <w:rFonts w:ascii="Century Gothic" w:hAnsi="Century Gothic"/>
          <w:b/>
          <w:iCs/>
          <w:color w:val="000000" w:themeColor="text1"/>
          <w:sz w:val="24"/>
          <w:szCs w:val="24"/>
          <w:shd w:val="clear" w:color="auto" w:fill="FFFFFF"/>
        </w:rPr>
        <w:t>.</w:t>
      </w:r>
      <w:r w:rsidR="007E2DE6" w:rsidRPr="000E696C">
        <w:rPr>
          <w:rFonts w:ascii="Century Gothic" w:hAnsi="Century Gothic"/>
          <w:b/>
          <w:iCs/>
          <w:color w:val="000000" w:themeColor="text1"/>
          <w:sz w:val="24"/>
          <w:szCs w:val="24"/>
          <w:shd w:val="clear" w:color="auto" w:fill="FFFFFF"/>
        </w:rPr>
        <w:t xml:space="preserve"> </w:t>
      </w:r>
      <w:r w:rsidR="009D7398">
        <w:rPr>
          <w:rFonts w:ascii="Century Gothic" w:hAnsi="Century Gothic"/>
          <w:iCs/>
          <w:color w:val="000000" w:themeColor="text1"/>
          <w:sz w:val="24"/>
          <w:szCs w:val="24"/>
          <w:shd w:val="clear" w:color="auto" w:fill="FFFFFF"/>
        </w:rPr>
        <w:t>P</w:t>
      </w:r>
      <w:r w:rsidRPr="000E696C">
        <w:rPr>
          <w:rFonts w:ascii="Century Gothic" w:hAnsi="Century Gothic"/>
          <w:iCs/>
          <w:color w:val="000000" w:themeColor="text1"/>
          <w:sz w:val="24"/>
          <w:szCs w:val="24"/>
          <w:shd w:val="clear" w:color="auto" w:fill="FFFFFF"/>
        </w:rPr>
        <w:t>rincipio</w:t>
      </w:r>
      <w:r w:rsidR="009D7398">
        <w:rPr>
          <w:rFonts w:ascii="Century Gothic" w:hAnsi="Century Gothic"/>
          <w:iCs/>
          <w:color w:val="000000" w:themeColor="text1"/>
          <w:sz w:val="24"/>
          <w:szCs w:val="24"/>
          <w:shd w:val="clear" w:color="auto" w:fill="FFFFFF"/>
        </w:rPr>
        <w:t xml:space="preserve"> que</w:t>
      </w:r>
      <w:r w:rsidRPr="000E696C">
        <w:rPr>
          <w:rFonts w:ascii="Century Gothic" w:hAnsi="Century Gothic"/>
          <w:iCs/>
          <w:color w:val="000000" w:themeColor="text1"/>
          <w:sz w:val="24"/>
          <w:szCs w:val="24"/>
          <w:shd w:val="clear" w:color="auto" w:fill="FFFFFF"/>
        </w:rPr>
        <w:t xml:space="preserve"> procura la ideación, diseño, implementación y evaluación conjunta de políticas públicas con los diferentes actores y sectores que convergen en agendas programáticas puntuales, siendo en este caso </w:t>
      </w:r>
      <w:r w:rsidR="00232094" w:rsidRPr="000E696C">
        <w:rPr>
          <w:rFonts w:ascii="Century Gothic" w:hAnsi="Century Gothic"/>
          <w:iCs/>
          <w:color w:val="000000" w:themeColor="text1"/>
          <w:sz w:val="24"/>
          <w:szCs w:val="24"/>
          <w:shd w:val="clear" w:color="auto" w:fill="FFFFFF"/>
        </w:rPr>
        <w:t>los datos abiertos para combatir la corrupc</w:t>
      </w:r>
      <w:r w:rsidR="00E35228">
        <w:rPr>
          <w:rFonts w:ascii="Century Gothic" w:hAnsi="Century Gothic"/>
          <w:iCs/>
          <w:color w:val="000000" w:themeColor="text1"/>
          <w:sz w:val="24"/>
          <w:szCs w:val="24"/>
          <w:shd w:val="clear" w:color="auto" w:fill="FFFFFF"/>
        </w:rPr>
        <w:t>i</w:t>
      </w:r>
      <w:r w:rsidR="00232094" w:rsidRPr="000E696C">
        <w:rPr>
          <w:rFonts w:ascii="Century Gothic" w:hAnsi="Century Gothic"/>
          <w:iCs/>
          <w:color w:val="000000" w:themeColor="text1"/>
          <w:sz w:val="24"/>
          <w:szCs w:val="24"/>
          <w:shd w:val="clear" w:color="auto" w:fill="FFFFFF"/>
        </w:rPr>
        <w:t>ón.</w:t>
      </w:r>
      <w:r w:rsidRPr="000E696C">
        <w:rPr>
          <w:rFonts w:ascii="Century Gothic" w:hAnsi="Century Gothic"/>
          <w:iCs/>
          <w:color w:val="000000" w:themeColor="text1"/>
          <w:sz w:val="24"/>
          <w:szCs w:val="24"/>
          <w:shd w:val="clear" w:color="auto" w:fill="FFFFFF"/>
        </w:rPr>
        <w:t xml:space="preserve"> La </w:t>
      </w:r>
      <w:proofErr w:type="spellStart"/>
      <w:r w:rsidRPr="000E696C">
        <w:rPr>
          <w:rFonts w:ascii="Century Gothic" w:hAnsi="Century Gothic"/>
          <w:iCs/>
          <w:color w:val="000000" w:themeColor="text1"/>
          <w:sz w:val="24"/>
          <w:szCs w:val="24"/>
          <w:shd w:val="clear" w:color="auto" w:fill="FFFFFF"/>
        </w:rPr>
        <w:t>co</w:t>
      </w:r>
      <w:proofErr w:type="spellEnd"/>
      <w:r w:rsidRPr="000E696C">
        <w:rPr>
          <w:rFonts w:ascii="Century Gothic" w:hAnsi="Century Gothic"/>
          <w:iCs/>
          <w:color w:val="000000" w:themeColor="text1"/>
          <w:sz w:val="24"/>
          <w:szCs w:val="24"/>
          <w:shd w:val="clear" w:color="auto" w:fill="FFFFFF"/>
        </w:rPr>
        <w:t>-creación no implica, bajo ninguna circunstancia</w:t>
      </w:r>
      <w:r w:rsidR="00886947">
        <w:rPr>
          <w:rFonts w:ascii="Century Gothic" w:hAnsi="Century Gothic"/>
          <w:iCs/>
          <w:color w:val="000000" w:themeColor="text1"/>
          <w:sz w:val="24"/>
          <w:szCs w:val="24"/>
          <w:shd w:val="clear" w:color="auto" w:fill="FFFFFF"/>
        </w:rPr>
        <w:t>,</w:t>
      </w:r>
      <w:r w:rsidRPr="000E696C">
        <w:rPr>
          <w:rFonts w:ascii="Century Gothic" w:hAnsi="Century Gothic"/>
          <w:iCs/>
          <w:color w:val="000000" w:themeColor="text1"/>
          <w:sz w:val="24"/>
          <w:szCs w:val="24"/>
          <w:shd w:val="clear" w:color="auto" w:fill="FFFFFF"/>
        </w:rPr>
        <w:t xml:space="preserve"> el traslado de responsabilidades a la ciudadanía, sino que procura incorporar desde las primeras etapas de una política las perspectivas y necesidades de todos esos actores, generando productos con valor público. </w:t>
      </w:r>
    </w:p>
    <w:p w14:paraId="142078CF" w14:textId="77777777" w:rsidR="00E35228" w:rsidRDefault="00E35228" w:rsidP="00E35228">
      <w:pPr>
        <w:pStyle w:val="Prrafodelista"/>
        <w:jc w:val="both"/>
        <w:rPr>
          <w:rFonts w:ascii="Century Gothic" w:hAnsi="Century Gothic"/>
          <w:iCs/>
          <w:color w:val="000000" w:themeColor="text1"/>
          <w:sz w:val="24"/>
          <w:szCs w:val="24"/>
          <w:shd w:val="clear" w:color="auto" w:fill="FFFFFF"/>
        </w:rPr>
      </w:pPr>
    </w:p>
    <w:p w14:paraId="7E61489B" w14:textId="1353E262" w:rsidR="00344EFB" w:rsidRPr="000E696C" w:rsidRDefault="00344EFB" w:rsidP="00E35228">
      <w:pPr>
        <w:pStyle w:val="Prrafodelista"/>
        <w:jc w:val="both"/>
        <w:rPr>
          <w:rFonts w:ascii="Century Gothic" w:hAnsi="Century Gothic"/>
          <w:iCs/>
          <w:color w:val="000000" w:themeColor="text1"/>
          <w:sz w:val="24"/>
          <w:szCs w:val="24"/>
          <w:shd w:val="clear" w:color="auto" w:fill="FFFFFF"/>
        </w:rPr>
      </w:pPr>
      <w:r w:rsidRPr="000E696C">
        <w:rPr>
          <w:rFonts w:ascii="Century Gothic" w:hAnsi="Century Gothic"/>
          <w:iCs/>
          <w:color w:val="000000" w:themeColor="text1"/>
          <w:sz w:val="24"/>
          <w:szCs w:val="24"/>
          <w:shd w:val="clear" w:color="auto" w:fill="FFFFFF"/>
        </w:rPr>
        <w:t>Además, una de las principales garantías de sostenibilidad de los cambios de paradigma, como el que este pretende ser, es el empoderamiento ciudadano que permite innovar y fiscalizar el oportuno cumplimiento de los compromisos adquiridos, siendo las principales aliadas de las grandes transformaciones.</w:t>
      </w:r>
    </w:p>
    <w:p w14:paraId="6805716E" w14:textId="77777777" w:rsidR="00E35228" w:rsidRDefault="00E35228" w:rsidP="00344EFB">
      <w:pPr>
        <w:pStyle w:val="Prrafodelista"/>
        <w:jc w:val="both"/>
        <w:rPr>
          <w:rFonts w:ascii="Century Gothic" w:hAnsi="Century Gothic"/>
          <w:iCs/>
          <w:color w:val="000000" w:themeColor="text1"/>
          <w:sz w:val="24"/>
          <w:szCs w:val="24"/>
          <w:shd w:val="clear" w:color="auto" w:fill="FFFFFF"/>
        </w:rPr>
      </w:pPr>
    </w:p>
    <w:p w14:paraId="548C9F1B" w14:textId="2AA5F35E" w:rsidR="003C279E" w:rsidRPr="003C279E" w:rsidRDefault="00344EFB" w:rsidP="003C279E">
      <w:pPr>
        <w:pStyle w:val="Prrafodelista"/>
        <w:jc w:val="both"/>
        <w:rPr>
          <w:rFonts w:ascii="Century Gothic" w:hAnsi="Century Gothic"/>
          <w:iCs/>
          <w:color w:val="000000" w:themeColor="text1"/>
          <w:sz w:val="24"/>
          <w:szCs w:val="24"/>
          <w:shd w:val="clear" w:color="auto" w:fill="FFFFFF"/>
        </w:rPr>
      </w:pPr>
      <w:r w:rsidRPr="000E696C">
        <w:rPr>
          <w:rFonts w:ascii="Century Gothic" w:hAnsi="Century Gothic"/>
          <w:iCs/>
          <w:color w:val="000000" w:themeColor="text1"/>
          <w:sz w:val="24"/>
          <w:szCs w:val="24"/>
          <w:shd w:val="clear" w:color="auto" w:fill="FFFFFF"/>
        </w:rPr>
        <w:t xml:space="preserve">La </w:t>
      </w:r>
      <w:proofErr w:type="spellStart"/>
      <w:r w:rsidRPr="000E696C">
        <w:rPr>
          <w:rFonts w:ascii="Century Gothic" w:hAnsi="Century Gothic"/>
          <w:iCs/>
          <w:color w:val="000000" w:themeColor="text1"/>
          <w:sz w:val="24"/>
          <w:szCs w:val="24"/>
          <w:shd w:val="clear" w:color="auto" w:fill="FFFFFF"/>
        </w:rPr>
        <w:t>co</w:t>
      </w:r>
      <w:proofErr w:type="spellEnd"/>
      <w:r w:rsidRPr="000E696C">
        <w:rPr>
          <w:rFonts w:ascii="Century Gothic" w:hAnsi="Century Gothic"/>
          <w:iCs/>
          <w:color w:val="000000" w:themeColor="text1"/>
          <w:sz w:val="24"/>
          <w:szCs w:val="24"/>
          <w:shd w:val="clear" w:color="auto" w:fill="FFFFFF"/>
        </w:rPr>
        <w:t>-creación puede considerarse como una forma de participación ciudadana, pero también se ha ido desagregando con el objetivo de entenderla como una forma de construir las políticas de Gobierno Abierto y la participación ciudadana como un principio de fondo que rige toda política en esta materia.</w:t>
      </w:r>
    </w:p>
    <w:p w14:paraId="3E7F35C6" w14:textId="631FCF4F" w:rsidR="00023148" w:rsidRPr="000E696C" w:rsidRDefault="00344EFB" w:rsidP="00D0466E">
      <w:pPr>
        <w:pStyle w:val="Prrafodelista"/>
        <w:jc w:val="both"/>
      </w:pPr>
      <w:r w:rsidRPr="000E696C">
        <w:rPr>
          <w:rFonts w:ascii="Century Gothic" w:hAnsi="Century Gothic"/>
          <w:iCs/>
          <w:color w:val="000000" w:themeColor="text1"/>
          <w:sz w:val="24"/>
          <w:szCs w:val="24"/>
          <w:shd w:val="clear" w:color="auto" w:fill="FFFFFF"/>
        </w:rPr>
        <w:tab/>
      </w:r>
    </w:p>
    <w:p w14:paraId="3243A08B" w14:textId="0D6D2795" w:rsidR="003F7E2F" w:rsidRDefault="005549F3" w:rsidP="003F7E2F">
      <w:pPr>
        <w:jc w:val="both"/>
        <w:rPr>
          <w:rFonts w:ascii="Century Gothic" w:hAnsi="Century Gothic"/>
          <w:color w:val="000000" w:themeColor="text1"/>
          <w:sz w:val="24"/>
          <w:szCs w:val="24"/>
        </w:rPr>
      </w:pPr>
      <w:r w:rsidRPr="000E696C">
        <w:rPr>
          <w:rFonts w:ascii="Century Gothic" w:hAnsi="Century Gothic"/>
          <w:color w:val="000000" w:themeColor="text1"/>
          <w:sz w:val="24"/>
          <w:szCs w:val="24"/>
        </w:rPr>
        <w:tab/>
      </w:r>
      <w:r w:rsidR="003C279E">
        <w:rPr>
          <w:rFonts w:ascii="Century Gothic" w:hAnsi="Century Gothic"/>
          <w:color w:val="000000" w:themeColor="text1"/>
          <w:sz w:val="24"/>
          <w:szCs w:val="24"/>
        </w:rPr>
        <w:t xml:space="preserve">Recientemente la Organización de Estados Americanos publicó la </w:t>
      </w:r>
      <w:r w:rsidR="003C279E" w:rsidRPr="00B65EF3">
        <w:rPr>
          <w:rFonts w:ascii="Century Gothic" w:hAnsi="Century Gothic"/>
          <w:b/>
          <w:bCs/>
          <w:color w:val="000000" w:themeColor="text1"/>
          <w:sz w:val="24"/>
          <w:szCs w:val="24"/>
        </w:rPr>
        <w:t>“Guía de Implementación del PIDA”</w:t>
      </w:r>
      <w:r w:rsidR="003C279E">
        <w:rPr>
          <w:rStyle w:val="Refdenotaalpie"/>
          <w:rFonts w:ascii="Century Gothic" w:hAnsi="Century Gothic"/>
          <w:color w:val="000000" w:themeColor="text1"/>
          <w:sz w:val="24"/>
          <w:szCs w:val="24"/>
        </w:rPr>
        <w:footnoteReference w:id="6"/>
      </w:r>
      <w:r w:rsidR="003C279E">
        <w:rPr>
          <w:rFonts w:ascii="Century Gothic" w:hAnsi="Century Gothic"/>
          <w:color w:val="000000" w:themeColor="text1"/>
          <w:sz w:val="24"/>
          <w:szCs w:val="24"/>
        </w:rPr>
        <w:t xml:space="preserve"> </w:t>
      </w:r>
      <w:r w:rsidR="003F7E2F">
        <w:rPr>
          <w:rFonts w:ascii="Century Gothic" w:hAnsi="Century Gothic"/>
          <w:color w:val="000000" w:themeColor="text1"/>
          <w:sz w:val="24"/>
          <w:szCs w:val="24"/>
        </w:rPr>
        <w:t xml:space="preserve">como un compendio de acciones que los Estados comprometidos con la apertura de datos para combatir la corrupción pueden utilizar a modo de referencia </w:t>
      </w:r>
      <w:r w:rsidR="00E625B9">
        <w:rPr>
          <w:rFonts w:ascii="Century Gothic" w:hAnsi="Century Gothic"/>
          <w:color w:val="000000" w:themeColor="text1"/>
          <w:sz w:val="24"/>
          <w:szCs w:val="24"/>
        </w:rPr>
        <w:t>para implementar el Programa. Este documento se adapta a la etapa de madurez en la que se encuentre cada Estado en su proceso de apertura de datos públicos.</w:t>
      </w:r>
    </w:p>
    <w:p w14:paraId="2F94439D" w14:textId="2BA19CC1" w:rsidR="00E625B9" w:rsidRDefault="00E625B9" w:rsidP="003F7E2F">
      <w:pPr>
        <w:jc w:val="both"/>
        <w:rPr>
          <w:rFonts w:ascii="Century Gothic" w:hAnsi="Century Gothic"/>
          <w:color w:val="000000" w:themeColor="text1"/>
          <w:sz w:val="24"/>
          <w:szCs w:val="24"/>
        </w:rPr>
      </w:pPr>
      <w:r>
        <w:rPr>
          <w:rFonts w:ascii="Century Gothic" w:hAnsi="Century Gothic"/>
          <w:color w:val="000000" w:themeColor="text1"/>
          <w:sz w:val="24"/>
          <w:szCs w:val="24"/>
        </w:rPr>
        <w:tab/>
      </w:r>
    </w:p>
    <w:p w14:paraId="72076EA7" w14:textId="0A0B3FE2" w:rsidR="00E625B9" w:rsidRDefault="00E625B9" w:rsidP="003F7E2F">
      <w:pPr>
        <w:jc w:val="both"/>
        <w:rPr>
          <w:rFonts w:ascii="Century Gothic" w:hAnsi="Century Gothic"/>
          <w:color w:val="000000" w:themeColor="text1"/>
          <w:sz w:val="24"/>
          <w:szCs w:val="24"/>
        </w:rPr>
      </w:pPr>
      <w:r>
        <w:rPr>
          <w:rFonts w:ascii="Century Gothic" w:hAnsi="Century Gothic"/>
          <w:color w:val="000000" w:themeColor="text1"/>
          <w:sz w:val="24"/>
          <w:szCs w:val="24"/>
        </w:rPr>
        <w:lastRenderedPageBreak/>
        <w:tab/>
      </w:r>
      <w:r w:rsidR="00B261BB">
        <w:rPr>
          <w:rFonts w:ascii="Century Gothic" w:hAnsi="Century Gothic"/>
          <w:color w:val="000000" w:themeColor="text1"/>
          <w:sz w:val="24"/>
          <w:szCs w:val="24"/>
        </w:rPr>
        <w:t>Esta Guía plantea 5 fases para la implementación del PIDA:</w:t>
      </w:r>
    </w:p>
    <w:p w14:paraId="6C9E6B0F" w14:textId="147E13DD" w:rsidR="00B261BB" w:rsidRDefault="00B261BB" w:rsidP="003F7E2F">
      <w:pPr>
        <w:jc w:val="both"/>
        <w:rPr>
          <w:rFonts w:ascii="Century Gothic" w:hAnsi="Century Gothic"/>
          <w:color w:val="000000" w:themeColor="text1"/>
          <w:sz w:val="24"/>
          <w:szCs w:val="24"/>
        </w:rPr>
      </w:pPr>
    </w:p>
    <w:p w14:paraId="43CCD10A" w14:textId="573460E6" w:rsidR="00B261BB" w:rsidRDefault="00B261BB" w:rsidP="00B261BB">
      <w:pPr>
        <w:pStyle w:val="Prrafodelista"/>
        <w:numPr>
          <w:ilvl w:val="0"/>
          <w:numId w:val="30"/>
        </w:numPr>
        <w:jc w:val="both"/>
        <w:rPr>
          <w:rFonts w:ascii="Century Gothic" w:hAnsi="Century Gothic"/>
          <w:color w:val="000000" w:themeColor="text1"/>
          <w:sz w:val="24"/>
          <w:szCs w:val="24"/>
        </w:rPr>
      </w:pPr>
      <w:r w:rsidRPr="00130539">
        <w:rPr>
          <w:rFonts w:ascii="Century Gothic" w:hAnsi="Century Gothic"/>
          <w:b/>
          <w:bCs/>
          <w:color w:val="000000" w:themeColor="text1"/>
          <w:sz w:val="24"/>
          <w:szCs w:val="24"/>
        </w:rPr>
        <w:t>Acondicionamiento</w:t>
      </w:r>
      <w:r>
        <w:rPr>
          <w:rFonts w:ascii="Century Gothic" w:hAnsi="Century Gothic"/>
          <w:color w:val="000000" w:themeColor="text1"/>
          <w:sz w:val="24"/>
          <w:szCs w:val="24"/>
        </w:rPr>
        <w:t>: Implica avanzar en el desarrollo, adopción e implementación de marcos normativos, políticas y estrategias para la apertura de datos públicos.</w:t>
      </w:r>
    </w:p>
    <w:p w14:paraId="18D50BB6" w14:textId="627F3882" w:rsidR="00B261BB" w:rsidRDefault="00B261BB" w:rsidP="00B261BB">
      <w:pPr>
        <w:pStyle w:val="Prrafodelista"/>
        <w:numPr>
          <w:ilvl w:val="0"/>
          <w:numId w:val="30"/>
        </w:numPr>
        <w:jc w:val="both"/>
        <w:rPr>
          <w:rFonts w:ascii="Century Gothic" w:hAnsi="Century Gothic"/>
          <w:color w:val="000000" w:themeColor="text1"/>
          <w:sz w:val="24"/>
          <w:szCs w:val="24"/>
        </w:rPr>
      </w:pPr>
      <w:r w:rsidRPr="00130539">
        <w:rPr>
          <w:rFonts w:ascii="Century Gothic" w:hAnsi="Century Gothic"/>
          <w:b/>
          <w:bCs/>
          <w:color w:val="000000" w:themeColor="text1"/>
          <w:sz w:val="24"/>
          <w:szCs w:val="24"/>
        </w:rPr>
        <w:t>Análisis</w:t>
      </w:r>
      <w:r>
        <w:rPr>
          <w:rFonts w:ascii="Century Gothic" w:hAnsi="Century Gothic"/>
          <w:color w:val="000000" w:themeColor="text1"/>
          <w:sz w:val="24"/>
          <w:szCs w:val="24"/>
        </w:rPr>
        <w:t>: Requiere identificar los conjuntos de datos prioritarios en el combate a la corrupción que deben ser abiertos</w:t>
      </w:r>
      <w:r w:rsidR="00B740D3">
        <w:rPr>
          <w:rFonts w:ascii="Century Gothic" w:hAnsi="Century Gothic"/>
          <w:color w:val="000000" w:themeColor="text1"/>
          <w:sz w:val="24"/>
          <w:szCs w:val="24"/>
        </w:rPr>
        <w:t>.</w:t>
      </w:r>
    </w:p>
    <w:p w14:paraId="75EABCE8" w14:textId="20B895F9" w:rsidR="00B261BB" w:rsidRDefault="00B261BB" w:rsidP="00B261BB">
      <w:pPr>
        <w:pStyle w:val="Prrafodelista"/>
        <w:numPr>
          <w:ilvl w:val="0"/>
          <w:numId w:val="30"/>
        </w:numPr>
        <w:jc w:val="both"/>
        <w:rPr>
          <w:rFonts w:ascii="Century Gothic" w:hAnsi="Century Gothic"/>
          <w:color w:val="000000" w:themeColor="text1"/>
          <w:sz w:val="24"/>
          <w:szCs w:val="24"/>
        </w:rPr>
      </w:pPr>
      <w:r w:rsidRPr="00130539">
        <w:rPr>
          <w:rFonts w:ascii="Century Gothic" w:hAnsi="Century Gothic"/>
          <w:b/>
          <w:bCs/>
          <w:color w:val="000000" w:themeColor="text1"/>
          <w:sz w:val="24"/>
          <w:szCs w:val="24"/>
        </w:rPr>
        <w:t>Apertura</w:t>
      </w:r>
      <w:r>
        <w:rPr>
          <w:rFonts w:ascii="Century Gothic" w:hAnsi="Century Gothic"/>
          <w:color w:val="000000" w:themeColor="text1"/>
          <w:sz w:val="24"/>
          <w:szCs w:val="24"/>
        </w:rPr>
        <w:t>:</w:t>
      </w:r>
      <w:r w:rsidR="00B740D3">
        <w:rPr>
          <w:rFonts w:ascii="Century Gothic" w:hAnsi="Century Gothic"/>
          <w:color w:val="000000" w:themeColor="text1"/>
          <w:sz w:val="24"/>
          <w:szCs w:val="24"/>
        </w:rPr>
        <w:t xml:space="preserve"> Consiste en publicar los conjuntos de datos identificados en formatos accesibles para la ciudadanía que sean reutilizados, actualizados, comparables e interoperables. Además</w:t>
      </w:r>
      <w:r w:rsidR="00A07370">
        <w:rPr>
          <w:rFonts w:ascii="Century Gothic" w:hAnsi="Century Gothic"/>
          <w:color w:val="000000" w:themeColor="text1"/>
          <w:sz w:val="24"/>
          <w:szCs w:val="24"/>
        </w:rPr>
        <w:t>,</w:t>
      </w:r>
      <w:r w:rsidR="00B740D3">
        <w:rPr>
          <w:rFonts w:ascii="Century Gothic" w:hAnsi="Century Gothic"/>
          <w:color w:val="000000" w:themeColor="text1"/>
          <w:sz w:val="24"/>
          <w:szCs w:val="24"/>
        </w:rPr>
        <w:t xml:space="preserve"> incidir en el fortalecimiento y apertura de datos de contrataciones públicas y en fortalecer capacidades de las instituciones públicas</w:t>
      </w:r>
      <w:r w:rsidR="00A07370">
        <w:rPr>
          <w:rFonts w:ascii="Century Gothic" w:hAnsi="Century Gothic"/>
          <w:color w:val="000000" w:themeColor="text1"/>
          <w:sz w:val="24"/>
          <w:szCs w:val="24"/>
        </w:rPr>
        <w:t>.</w:t>
      </w:r>
    </w:p>
    <w:p w14:paraId="65CBCB94" w14:textId="7FC64C7E" w:rsidR="00B261BB" w:rsidRDefault="00B261BB" w:rsidP="00B261BB">
      <w:pPr>
        <w:pStyle w:val="Prrafodelista"/>
        <w:numPr>
          <w:ilvl w:val="0"/>
          <w:numId w:val="30"/>
        </w:numPr>
        <w:jc w:val="both"/>
        <w:rPr>
          <w:rFonts w:ascii="Century Gothic" w:hAnsi="Century Gothic"/>
          <w:color w:val="000000" w:themeColor="text1"/>
          <w:sz w:val="24"/>
          <w:szCs w:val="24"/>
        </w:rPr>
      </w:pPr>
      <w:r w:rsidRPr="00130539">
        <w:rPr>
          <w:rFonts w:ascii="Century Gothic" w:hAnsi="Century Gothic"/>
          <w:b/>
          <w:bCs/>
          <w:color w:val="000000" w:themeColor="text1"/>
          <w:sz w:val="24"/>
          <w:szCs w:val="24"/>
        </w:rPr>
        <w:t>Uso y Aprovechamiento</w:t>
      </w:r>
      <w:r>
        <w:rPr>
          <w:rFonts w:ascii="Century Gothic" w:hAnsi="Century Gothic"/>
          <w:color w:val="000000" w:themeColor="text1"/>
          <w:sz w:val="24"/>
          <w:szCs w:val="24"/>
        </w:rPr>
        <w:t>:</w:t>
      </w:r>
      <w:r w:rsidR="00A07370">
        <w:rPr>
          <w:rFonts w:ascii="Century Gothic" w:hAnsi="Century Gothic"/>
          <w:color w:val="000000" w:themeColor="text1"/>
          <w:sz w:val="24"/>
          <w:szCs w:val="24"/>
        </w:rPr>
        <w:t xml:space="preserve"> Propone promover el acceso y uso de datos abiertos por parte de la ciudadanía en el marco de estrategias nacionales para la transparencia, rendición de cuentas y participación ciudadana de los Estados.</w:t>
      </w:r>
    </w:p>
    <w:p w14:paraId="2FEDB765" w14:textId="1F93D297" w:rsidR="00B261BB" w:rsidRDefault="00B261BB" w:rsidP="003F7E2F">
      <w:pPr>
        <w:pStyle w:val="Prrafodelista"/>
        <w:numPr>
          <w:ilvl w:val="0"/>
          <w:numId w:val="30"/>
        </w:numPr>
        <w:jc w:val="both"/>
        <w:rPr>
          <w:rFonts w:ascii="Century Gothic" w:hAnsi="Century Gothic"/>
          <w:color w:val="000000" w:themeColor="text1"/>
          <w:sz w:val="24"/>
          <w:szCs w:val="24"/>
        </w:rPr>
      </w:pPr>
      <w:r w:rsidRPr="00130539">
        <w:rPr>
          <w:rFonts w:ascii="Century Gothic" w:hAnsi="Century Gothic"/>
          <w:b/>
          <w:bCs/>
          <w:color w:val="000000" w:themeColor="text1"/>
          <w:sz w:val="24"/>
          <w:szCs w:val="24"/>
        </w:rPr>
        <w:t>Monitoreo y validación de calidad</w:t>
      </w:r>
      <w:r>
        <w:rPr>
          <w:rFonts w:ascii="Century Gothic" w:hAnsi="Century Gothic"/>
          <w:color w:val="000000" w:themeColor="text1"/>
          <w:sz w:val="24"/>
          <w:szCs w:val="24"/>
        </w:rPr>
        <w:t>:</w:t>
      </w:r>
      <w:r w:rsidR="00A07370">
        <w:rPr>
          <w:rFonts w:ascii="Century Gothic" w:hAnsi="Century Gothic"/>
          <w:color w:val="000000" w:themeColor="text1"/>
          <w:sz w:val="24"/>
          <w:szCs w:val="24"/>
        </w:rPr>
        <w:t xml:space="preserve"> Facilita una serie de herramientas y recursos que permita un monitoreo y validación constante a lo largo de la implementación del PIDA por parte de los Estados.</w:t>
      </w:r>
    </w:p>
    <w:p w14:paraId="48D8B542" w14:textId="77777777" w:rsidR="00F95201" w:rsidRDefault="00F95201" w:rsidP="00F95201">
      <w:pPr>
        <w:jc w:val="both"/>
        <w:rPr>
          <w:rFonts w:ascii="Century Gothic" w:hAnsi="Century Gothic"/>
          <w:color w:val="000000" w:themeColor="text1"/>
          <w:sz w:val="24"/>
          <w:szCs w:val="24"/>
        </w:rPr>
      </w:pPr>
    </w:p>
    <w:p w14:paraId="2FC7A276" w14:textId="45860407" w:rsidR="00F95201" w:rsidRPr="00F95201" w:rsidRDefault="00F95201" w:rsidP="00F95201">
      <w:pPr>
        <w:ind w:firstLine="720"/>
        <w:jc w:val="both"/>
        <w:rPr>
          <w:rFonts w:ascii="Century Gothic" w:hAnsi="Century Gothic"/>
          <w:color w:val="000000" w:themeColor="text1"/>
          <w:sz w:val="24"/>
          <w:szCs w:val="24"/>
        </w:rPr>
      </w:pPr>
      <w:r>
        <w:rPr>
          <w:rFonts w:ascii="Century Gothic" w:hAnsi="Century Gothic"/>
          <w:color w:val="000000" w:themeColor="text1"/>
          <w:sz w:val="24"/>
          <w:szCs w:val="24"/>
        </w:rPr>
        <w:t>Finalmente, la guía incorpora una serie de recursos</w:t>
      </w:r>
      <w:r w:rsidR="00201AD7">
        <w:rPr>
          <w:rFonts w:ascii="Century Gothic" w:hAnsi="Century Gothic"/>
          <w:color w:val="000000" w:themeColor="text1"/>
          <w:sz w:val="24"/>
          <w:szCs w:val="24"/>
        </w:rPr>
        <w:t xml:space="preserve"> </w:t>
      </w:r>
      <w:r w:rsidR="00307F7A">
        <w:rPr>
          <w:rFonts w:ascii="Century Gothic" w:hAnsi="Century Gothic"/>
          <w:color w:val="000000" w:themeColor="text1"/>
          <w:sz w:val="24"/>
          <w:szCs w:val="24"/>
        </w:rPr>
        <w:t>que compilan</w:t>
      </w:r>
      <w:r w:rsidR="00201AD7">
        <w:rPr>
          <w:rFonts w:ascii="Century Gothic" w:hAnsi="Century Gothic"/>
          <w:color w:val="000000" w:themeColor="text1"/>
          <w:sz w:val="24"/>
          <w:szCs w:val="24"/>
        </w:rPr>
        <w:t xml:space="preserve"> buenas prácticas y experiencias previas en otros países, así como un</w:t>
      </w:r>
      <w:r>
        <w:rPr>
          <w:rFonts w:ascii="Century Gothic" w:hAnsi="Century Gothic"/>
          <w:color w:val="000000" w:themeColor="text1"/>
          <w:sz w:val="24"/>
          <w:szCs w:val="24"/>
        </w:rPr>
        <w:t xml:space="preserve"> matrices que permit</w:t>
      </w:r>
      <w:r w:rsidR="00030928">
        <w:rPr>
          <w:rFonts w:ascii="Century Gothic" w:hAnsi="Century Gothic"/>
          <w:color w:val="000000" w:themeColor="text1"/>
          <w:sz w:val="24"/>
          <w:szCs w:val="24"/>
        </w:rPr>
        <w:t xml:space="preserve">en elaborar el diagnóstico, mapear actores y sus respectivos </w:t>
      </w:r>
      <w:r w:rsidR="00201AD7">
        <w:rPr>
          <w:rFonts w:ascii="Century Gothic" w:hAnsi="Century Gothic"/>
          <w:color w:val="000000" w:themeColor="text1"/>
          <w:sz w:val="24"/>
          <w:szCs w:val="24"/>
        </w:rPr>
        <w:t>conjuntos de datos disponibles</w:t>
      </w:r>
      <w:r w:rsidR="00030928">
        <w:rPr>
          <w:rFonts w:ascii="Century Gothic" w:hAnsi="Century Gothic"/>
          <w:color w:val="000000" w:themeColor="text1"/>
          <w:sz w:val="24"/>
          <w:szCs w:val="24"/>
        </w:rPr>
        <w:t xml:space="preserve">, </w:t>
      </w:r>
      <w:r w:rsidR="00201AD7">
        <w:rPr>
          <w:rFonts w:ascii="Century Gothic" w:hAnsi="Century Gothic"/>
          <w:color w:val="000000" w:themeColor="text1"/>
          <w:sz w:val="24"/>
          <w:szCs w:val="24"/>
        </w:rPr>
        <w:t>monitorear y dar seguimiento a la etapa de implementación del Programa en la que se encuentran las diferentes instituciones y actores involucrados.</w:t>
      </w:r>
      <w:r w:rsidR="00030928">
        <w:rPr>
          <w:rFonts w:ascii="Century Gothic" w:hAnsi="Century Gothic"/>
          <w:color w:val="000000" w:themeColor="text1"/>
          <w:sz w:val="24"/>
          <w:szCs w:val="24"/>
        </w:rPr>
        <w:t xml:space="preserve"> </w:t>
      </w:r>
    </w:p>
    <w:p w14:paraId="4365C163" w14:textId="77777777" w:rsidR="00101360" w:rsidRDefault="00101360" w:rsidP="003F7E2F">
      <w:pPr>
        <w:jc w:val="both"/>
        <w:rPr>
          <w:rFonts w:ascii="Century Gothic" w:hAnsi="Century Gothic"/>
          <w:color w:val="000000" w:themeColor="text1"/>
          <w:sz w:val="24"/>
          <w:szCs w:val="24"/>
        </w:rPr>
      </w:pPr>
    </w:p>
    <w:p w14:paraId="4D99250D" w14:textId="1409638F" w:rsidR="00023148" w:rsidRDefault="005549F3" w:rsidP="003C279E">
      <w:pPr>
        <w:ind w:firstLine="720"/>
        <w:jc w:val="both"/>
        <w:rPr>
          <w:rFonts w:ascii="Century Gothic" w:hAnsi="Century Gothic"/>
          <w:color w:val="000000" w:themeColor="text1"/>
          <w:sz w:val="24"/>
          <w:szCs w:val="24"/>
        </w:rPr>
      </w:pPr>
      <w:r w:rsidRPr="000E696C">
        <w:rPr>
          <w:rFonts w:ascii="Century Gothic" w:hAnsi="Century Gothic"/>
          <w:color w:val="000000" w:themeColor="text1"/>
          <w:sz w:val="24"/>
          <w:szCs w:val="24"/>
        </w:rPr>
        <w:t xml:space="preserve">Estos </w:t>
      </w:r>
      <w:r w:rsidR="00F95201">
        <w:rPr>
          <w:rFonts w:ascii="Century Gothic" w:hAnsi="Century Gothic"/>
          <w:color w:val="000000" w:themeColor="text1"/>
          <w:sz w:val="24"/>
          <w:szCs w:val="24"/>
        </w:rPr>
        <w:t>ejes y fases mencionados supra,</w:t>
      </w:r>
      <w:r w:rsidR="00201AD7">
        <w:rPr>
          <w:rFonts w:ascii="Century Gothic" w:hAnsi="Century Gothic"/>
          <w:color w:val="000000" w:themeColor="text1"/>
          <w:sz w:val="24"/>
          <w:szCs w:val="24"/>
        </w:rPr>
        <w:t xml:space="preserve"> así como la Guía, son herramientas que</w:t>
      </w:r>
      <w:r w:rsidR="00F95201">
        <w:rPr>
          <w:rFonts w:ascii="Century Gothic" w:hAnsi="Century Gothic"/>
          <w:color w:val="000000" w:themeColor="text1"/>
          <w:sz w:val="24"/>
          <w:szCs w:val="24"/>
        </w:rPr>
        <w:t xml:space="preserve"> facilitan </w:t>
      </w:r>
      <w:r w:rsidRPr="000E696C">
        <w:rPr>
          <w:rFonts w:ascii="Century Gothic" w:hAnsi="Century Gothic"/>
          <w:color w:val="000000" w:themeColor="text1"/>
          <w:sz w:val="24"/>
          <w:szCs w:val="24"/>
        </w:rPr>
        <w:t>la implementación y consolidación del PIDA en Panamá, desde una perspectiva de sostenibilidad a mediano y largo plazo.</w:t>
      </w:r>
    </w:p>
    <w:p w14:paraId="473D314D" w14:textId="11993456" w:rsidR="00287855" w:rsidRDefault="00287855" w:rsidP="003C279E">
      <w:pPr>
        <w:ind w:firstLine="720"/>
        <w:jc w:val="both"/>
        <w:rPr>
          <w:rFonts w:ascii="Century Gothic" w:hAnsi="Century Gothic"/>
          <w:color w:val="000000" w:themeColor="text1"/>
          <w:sz w:val="24"/>
          <w:szCs w:val="24"/>
        </w:rPr>
      </w:pPr>
    </w:p>
    <w:p w14:paraId="3D798728" w14:textId="7C6679F6" w:rsidR="00287855" w:rsidRDefault="00287855" w:rsidP="003C279E">
      <w:pPr>
        <w:ind w:firstLine="720"/>
        <w:jc w:val="both"/>
        <w:rPr>
          <w:rFonts w:ascii="Century Gothic" w:hAnsi="Century Gothic"/>
          <w:b/>
          <w:bCs/>
          <w:color w:val="000000" w:themeColor="text1"/>
          <w:sz w:val="24"/>
          <w:szCs w:val="24"/>
        </w:rPr>
      </w:pPr>
      <w:r>
        <w:rPr>
          <w:rFonts w:ascii="Century Gothic" w:hAnsi="Century Gothic"/>
          <w:b/>
          <w:bCs/>
          <w:color w:val="000000" w:themeColor="text1"/>
          <w:sz w:val="24"/>
          <w:szCs w:val="24"/>
        </w:rPr>
        <w:t>Casos de éxito: Colombia y Ecuador</w:t>
      </w:r>
    </w:p>
    <w:p w14:paraId="0261CC21" w14:textId="7CE0C7E8" w:rsidR="00287855" w:rsidRDefault="00287855" w:rsidP="003C279E">
      <w:pPr>
        <w:ind w:firstLine="720"/>
        <w:jc w:val="both"/>
        <w:rPr>
          <w:rFonts w:ascii="Century Gothic" w:hAnsi="Century Gothic"/>
          <w:b/>
          <w:bCs/>
          <w:color w:val="000000" w:themeColor="text1"/>
          <w:sz w:val="24"/>
          <w:szCs w:val="24"/>
        </w:rPr>
      </w:pPr>
    </w:p>
    <w:p w14:paraId="5661F8C8" w14:textId="19B85628" w:rsidR="00287855" w:rsidRDefault="00287855" w:rsidP="003C279E">
      <w:pPr>
        <w:ind w:firstLine="720"/>
        <w:jc w:val="both"/>
        <w:rPr>
          <w:rFonts w:ascii="Century Gothic" w:hAnsi="Century Gothic"/>
          <w:color w:val="000000" w:themeColor="text1"/>
          <w:sz w:val="24"/>
          <w:szCs w:val="24"/>
        </w:rPr>
      </w:pPr>
      <w:r>
        <w:rPr>
          <w:rFonts w:ascii="Century Gothic" w:hAnsi="Century Gothic"/>
          <w:color w:val="000000" w:themeColor="text1"/>
          <w:sz w:val="24"/>
          <w:szCs w:val="24"/>
        </w:rPr>
        <w:t>Desde la aprobación del PIDA por la Asamblea General de la Organización de Estados Americanos con la Resolución Fortalecimiento de la Democracia, se han implementado iniciativas que han permitido a países de la región avanzar con el Programa.</w:t>
      </w:r>
    </w:p>
    <w:p w14:paraId="4FCE0031" w14:textId="2CEA3277" w:rsidR="00287855" w:rsidRDefault="00287855" w:rsidP="003C279E">
      <w:pPr>
        <w:ind w:firstLine="720"/>
        <w:jc w:val="both"/>
        <w:rPr>
          <w:rFonts w:ascii="Century Gothic" w:hAnsi="Century Gothic"/>
          <w:color w:val="000000" w:themeColor="text1"/>
          <w:sz w:val="24"/>
          <w:szCs w:val="24"/>
        </w:rPr>
      </w:pPr>
    </w:p>
    <w:p w14:paraId="2F9ED0D4" w14:textId="1D28053E" w:rsidR="00287855" w:rsidRDefault="00287855" w:rsidP="003C279E">
      <w:pPr>
        <w:ind w:firstLine="720"/>
        <w:jc w:val="both"/>
        <w:rPr>
          <w:rFonts w:ascii="Century Gothic" w:hAnsi="Century Gothic"/>
          <w:color w:val="000000" w:themeColor="text1"/>
          <w:sz w:val="24"/>
          <w:szCs w:val="24"/>
        </w:rPr>
      </w:pPr>
      <w:r>
        <w:rPr>
          <w:rFonts w:ascii="Century Gothic" w:hAnsi="Century Gothic"/>
          <w:color w:val="000000" w:themeColor="text1"/>
          <w:sz w:val="24"/>
          <w:szCs w:val="24"/>
        </w:rPr>
        <w:t>Se hará referencia a los casos particulares de Colombia y Ecuador, sin dejar de lado la referencia a otras experiencias como el caso de Costa Rica y Argentina, han avanzado en diferentes fases del proceso propuesto por la OEA para la implementación del PIDA en la Guía mencionada supra.</w:t>
      </w:r>
    </w:p>
    <w:p w14:paraId="235DD299" w14:textId="6164FE76" w:rsidR="00287855" w:rsidRDefault="00287855" w:rsidP="003C279E">
      <w:pPr>
        <w:ind w:firstLine="720"/>
        <w:jc w:val="both"/>
        <w:rPr>
          <w:rFonts w:ascii="Century Gothic" w:hAnsi="Century Gothic"/>
          <w:color w:val="000000" w:themeColor="text1"/>
          <w:sz w:val="24"/>
          <w:szCs w:val="24"/>
        </w:rPr>
      </w:pPr>
    </w:p>
    <w:p w14:paraId="7A82EE9F" w14:textId="6CC9B80D" w:rsidR="00287855" w:rsidRPr="00A87C91" w:rsidRDefault="00287855" w:rsidP="003C279E">
      <w:pPr>
        <w:ind w:firstLine="720"/>
        <w:jc w:val="both"/>
        <w:rPr>
          <w:rFonts w:ascii="Century Gothic" w:hAnsi="Century Gothic"/>
          <w:i/>
          <w:iCs/>
          <w:color w:val="000000" w:themeColor="text1"/>
          <w:sz w:val="24"/>
          <w:szCs w:val="24"/>
        </w:rPr>
      </w:pPr>
      <w:r w:rsidRPr="00A87C91">
        <w:rPr>
          <w:rFonts w:ascii="Century Gothic" w:hAnsi="Century Gothic"/>
          <w:i/>
          <w:iCs/>
          <w:color w:val="000000" w:themeColor="text1"/>
          <w:sz w:val="24"/>
          <w:szCs w:val="24"/>
        </w:rPr>
        <w:lastRenderedPageBreak/>
        <w:t>El caso de Colombia</w:t>
      </w:r>
    </w:p>
    <w:p w14:paraId="11A6BC9E" w14:textId="449EB079" w:rsidR="002D56EE" w:rsidRPr="00A87C91" w:rsidRDefault="002D56EE" w:rsidP="003C279E">
      <w:pPr>
        <w:ind w:firstLine="720"/>
        <w:jc w:val="both"/>
        <w:rPr>
          <w:rFonts w:ascii="Century Gothic" w:hAnsi="Century Gothic"/>
          <w:i/>
          <w:iCs/>
          <w:color w:val="000000" w:themeColor="text1"/>
          <w:sz w:val="24"/>
          <w:szCs w:val="24"/>
        </w:rPr>
      </w:pPr>
    </w:p>
    <w:p w14:paraId="2E380718" w14:textId="6B223592" w:rsidR="00C9115A" w:rsidRDefault="00AE607C" w:rsidP="00C9115A">
      <w:pPr>
        <w:ind w:firstLine="720"/>
        <w:jc w:val="both"/>
        <w:textAlignment w:val="baseline"/>
        <w:rPr>
          <w:rFonts w:ascii="Century Gothic" w:hAnsi="Century Gothic"/>
          <w:b/>
          <w:bCs/>
          <w:color w:val="000000" w:themeColor="text1"/>
          <w:sz w:val="24"/>
          <w:szCs w:val="24"/>
        </w:rPr>
      </w:pPr>
      <w:r w:rsidRPr="00C9115A">
        <w:rPr>
          <w:rFonts w:ascii="Century Gothic" w:hAnsi="Century Gothic"/>
          <w:color w:val="000000" w:themeColor="text1"/>
          <w:sz w:val="24"/>
          <w:szCs w:val="24"/>
        </w:rPr>
        <w:t>Colombia es el primer país de la región en implementar el PIDA</w:t>
      </w:r>
      <w:r w:rsidR="00A87C91" w:rsidRPr="00C9115A">
        <w:rPr>
          <w:rFonts w:ascii="Century Gothic" w:hAnsi="Century Gothic"/>
          <w:color w:val="000000" w:themeColor="text1"/>
          <w:sz w:val="24"/>
          <w:szCs w:val="24"/>
        </w:rPr>
        <w:t xml:space="preserve">, incorporándolo incluso como uno de sus 15 compromisos del </w:t>
      </w:r>
      <w:r w:rsidR="00A87C91" w:rsidRPr="00C9115A">
        <w:rPr>
          <w:rFonts w:ascii="Century Gothic" w:hAnsi="Century Gothic"/>
          <w:b/>
          <w:bCs/>
          <w:color w:val="000000" w:themeColor="text1"/>
          <w:sz w:val="24"/>
          <w:szCs w:val="24"/>
        </w:rPr>
        <w:t>IV Plan de Acción Nacional de Gobierno Abierto 2020-2022</w:t>
      </w:r>
      <w:r w:rsidR="00C9115A" w:rsidRPr="00C9115A">
        <w:rPr>
          <w:rFonts w:ascii="Century Gothic" w:hAnsi="Century Gothic"/>
          <w:color w:val="000000" w:themeColor="text1"/>
          <w:sz w:val="24"/>
          <w:szCs w:val="24"/>
        </w:rPr>
        <w:t xml:space="preserve"> a través de</w:t>
      </w:r>
      <w:r w:rsidR="00C9115A" w:rsidRPr="00C9115A">
        <w:rPr>
          <w:rFonts w:ascii="Century Gothic" w:eastAsia="Times New Roman" w:hAnsi="Century Gothic" w:cs="Times New Roman"/>
          <w:i/>
          <w:iCs/>
          <w:color w:val="252525"/>
          <w:sz w:val="24"/>
          <w:szCs w:val="24"/>
          <w:bdr w:val="none" w:sz="0" w:space="0" w:color="auto" w:frame="1"/>
          <w:lang w:val="es-CR"/>
        </w:rPr>
        <w:t xml:space="preserve"> </w:t>
      </w:r>
      <w:r w:rsidR="00C9115A">
        <w:rPr>
          <w:rFonts w:ascii="Century Gothic" w:eastAsia="Times New Roman" w:hAnsi="Century Gothic" w:cs="Times New Roman"/>
          <w:i/>
          <w:iCs/>
          <w:color w:val="252525"/>
          <w:sz w:val="24"/>
          <w:szCs w:val="24"/>
          <w:bdr w:val="none" w:sz="0" w:space="0" w:color="auto" w:frame="1"/>
          <w:lang w:val="es-CR"/>
        </w:rPr>
        <w:t>“</w:t>
      </w:r>
      <w:r w:rsidR="00C9115A" w:rsidRPr="00C9115A">
        <w:rPr>
          <w:rFonts w:ascii="Century Gothic" w:eastAsia="Times New Roman" w:hAnsi="Century Gothic" w:cs="Times New Roman"/>
          <w:i/>
          <w:iCs/>
          <w:color w:val="252525"/>
          <w:sz w:val="24"/>
          <w:szCs w:val="24"/>
          <w:bdr w:val="none" w:sz="0" w:space="0" w:color="auto" w:frame="1"/>
          <w:lang w:val="es-CR"/>
        </w:rPr>
        <w:t>una estrategia de Transparencia activa y el desarrollo de ejercicios colaborativos entre representantes de la sociedad civil, la ciudadanía y las entidades públicas, para la construcción, apertura y uso de información estratégica estructurada y de calidad que contribuya con la prevención, la vigilancia, el control a la lucha contra la corrupción."</w:t>
      </w:r>
      <w:r w:rsidR="00A87C91" w:rsidRPr="00C9115A">
        <w:rPr>
          <w:rStyle w:val="Refdenotaalpie"/>
          <w:rFonts w:ascii="Century Gothic" w:hAnsi="Century Gothic"/>
          <w:b/>
          <w:bCs/>
          <w:color w:val="000000" w:themeColor="text1"/>
          <w:sz w:val="24"/>
          <w:szCs w:val="24"/>
        </w:rPr>
        <w:footnoteReference w:id="7"/>
      </w:r>
      <w:r w:rsidR="00C9115A">
        <w:rPr>
          <w:rFonts w:ascii="Century Gothic" w:hAnsi="Century Gothic"/>
          <w:b/>
          <w:bCs/>
          <w:color w:val="000000" w:themeColor="text1"/>
          <w:sz w:val="24"/>
          <w:szCs w:val="24"/>
        </w:rPr>
        <w:t xml:space="preserve"> </w:t>
      </w:r>
    </w:p>
    <w:p w14:paraId="1A6E204C" w14:textId="4F7A3E6F" w:rsidR="00C9115A" w:rsidRDefault="00C9115A" w:rsidP="00C9115A">
      <w:pPr>
        <w:ind w:firstLine="720"/>
        <w:jc w:val="both"/>
        <w:textAlignment w:val="baseline"/>
        <w:rPr>
          <w:rFonts w:ascii="Century Gothic" w:hAnsi="Century Gothic"/>
          <w:color w:val="000000" w:themeColor="text1"/>
          <w:sz w:val="24"/>
          <w:szCs w:val="24"/>
        </w:rPr>
      </w:pPr>
      <w:r>
        <w:rPr>
          <w:rFonts w:ascii="Century Gothic" w:hAnsi="Century Gothic"/>
          <w:color w:val="000000" w:themeColor="text1"/>
          <w:sz w:val="24"/>
          <w:szCs w:val="24"/>
        </w:rPr>
        <w:t xml:space="preserve">Para apoyar el proceso el Ministerio de Tecnologías de la Información y las Comunicaciones lanzó una ruta estratégica denominada </w:t>
      </w:r>
      <w:r>
        <w:rPr>
          <w:rFonts w:ascii="Century Gothic" w:hAnsi="Century Gothic"/>
          <w:i/>
          <w:iCs/>
          <w:color w:val="000000" w:themeColor="text1"/>
          <w:sz w:val="24"/>
          <w:szCs w:val="24"/>
        </w:rPr>
        <w:t>“Datos con Propósito: Hoja de Ruta de Datos Abiertos Estratégicos para el Estado Colombiano”</w:t>
      </w:r>
      <w:r>
        <w:rPr>
          <w:rStyle w:val="Refdenotaalpie"/>
          <w:rFonts w:ascii="Century Gothic" w:hAnsi="Century Gothic"/>
          <w:i/>
          <w:iCs/>
          <w:color w:val="000000" w:themeColor="text1"/>
          <w:sz w:val="24"/>
          <w:szCs w:val="24"/>
        </w:rPr>
        <w:footnoteReference w:id="8"/>
      </w:r>
      <w:r>
        <w:rPr>
          <w:rFonts w:ascii="Century Gothic" w:hAnsi="Century Gothic"/>
          <w:color w:val="000000" w:themeColor="text1"/>
          <w:sz w:val="24"/>
          <w:szCs w:val="24"/>
        </w:rPr>
        <w:t xml:space="preserve"> que incorpora 93 conjuntos de datos</w:t>
      </w:r>
      <w:r w:rsidR="001919EF">
        <w:rPr>
          <w:rFonts w:ascii="Century Gothic" w:hAnsi="Century Gothic"/>
          <w:color w:val="000000" w:themeColor="text1"/>
          <w:sz w:val="24"/>
          <w:szCs w:val="24"/>
        </w:rPr>
        <w:t xml:space="preserve"> de los cuales 30 corresponden al PIDA.</w:t>
      </w:r>
    </w:p>
    <w:p w14:paraId="3674F577" w14:textId="00D16F66" w:rsidR="00C9115A" w:rsidRDefault="001919EF" w:rsidP="00BB607F">
      <w:pPr>
        <w:ind w:firstLine="720"/>
        <w:jc w:val="both"/>
        <w:textAlignment w:val="baseline"/>
        <w:rPr>
          <w:rFonts w:ascii="Century Gothic" w:eastAsia="Times New Roman" w:hAnsi="Century Gothic" w:cs="Times New Roman"/>
          <w:color w:val="252525"/>
          <w:sz w:val="24"/>
          <w:szCs w:val="24"/>
          <w:lang w:val="es-CR"/>
        </w:rPr>
      </w:pPr>
      <w:r>
        <w:rPr>
          <w:rFonts w:ascii="Century Gothic" w:hAnsi="Century Gothic"/>
          <w:color w:val="000000" w:themeColor="text1"/>
          <w:sz w:val="24"/>
          <w:szCs w:val="24"/>
        </w:rPr>
        <w:t>Una de las buenas prácticas identificadas con potencial de ser replicadas en otros países corresponde al Portal Anticorrupción de Colombia (PACO) creado en 2020 y que hace uso de conjuntos de datos que provienen del sistema de compras públicas, sanciones y reportes por posibles hechos de corrupción ya sancionados por las autoridades respectivas.</w:t>
      </w:r>
      <w:r>
        <w:rPr>
          <w:rStyle w:val="Refdenotaalpie"/>
          <w:rFonts w:ascii="Century Gothic" w:hAnsi="Century Gothic"/>
          <w:color w:val="000000" w:themeColor="text1"/>
          <w:sz w:val="24"/>
          <w:szCs w:val="24"/>
        </w:rPr>
        <w:footnoteReference w:id="9"/>
      </w:r>
    </w:p>
    <w:p w14:paraId="7DAB3B12" w14:textId="52C4A135" w:rsidR="00BB607F" w:rsidRDefault="00BB607F" w:rsidP="00BB607F">
      <w:pPr>
        <w:ind w:firstLine="720"/>
        <w:jc w:val="both"/>
        <w:textAlignment w:val="baseline"/>
        <w:rPr>
          <w:rFonts w:ascii="Century Gothic" w:eastAsia="Times New Roman" w:hAnsi="Century Gothic" w:cs="Times New Roman"/>
          <w:color w:val="252525"/>
          <w:sz w:val="24"/>
          <w:szCs w:val="24"/>
          <w:lang w:val="es-CR"/>
        </w:rPr>
      </w:pPr>
      <w:r>
        <w:rPr>
          <w:rFonts w:ascii="Century Gothic" w:eastAsia="Times New Roman" w:hAnsi="Century Gothic" w:cs="Times New Roman"/>
          <w:color w:val="252525"/>
          <w:sz w:val="24"/>
          <w:szCs w:val="24"/>
          <w:lang w:val="es-CR"/>
        </w:rPr>
        <w:t>Además en su portal de datos abiertos, el Gobierno actualiza el avance de apertura de los conjuntos de datos correspondientes al PIDA, de los cuales de 30, 16 han sido abiertos totalmente, 2 han sido abiertos parcialmente y 12 aún no han sido abiertos.</w:t>
      </w:r>
    </w:p>
    <w:p w14:paraId="5C695F3F" w14:textId="3FF3F329" w:rsidR="00BB607F" w:rsidRPr="00C9115A" w:rsidRDefault="00BB607F" w:rsidP="00BB607F">
      <w:pPr>
        <w:ind w:firstLine="720"/>
        <w:jc w:val="both"/>
        <w:textAlignment w:val="baseline"/>
        <w:rPr>
          <w:rFonts w:ascii="Century Gothic" w:eastAsia="Times New Roman" w:hAnsi="Century Gothic" w:cs="Times New Roman"/>
          <w:color w:val="252525"/>
          <w:sz w:val="24"/>
          <w:szCs w:val="24"/>
          <w:lang w:val="es-CR"/>
        </w:rPr>
      </w:pPr>
      <w:r>
        <w:rPr>
          <w:rFonts w:ascii="Century Gothic" w:eastAsia="Times New Roman" w:hAnsi="Century Gothic" w:cs="Times New Roman"/>
          <w:color w:val="252525"/>
          <w:sz w:val="24"/>
          <w:szCs w:val="24"/>
          <w:lang w:val="es-CR"/>
        </w:rPr>
        <w:t>Se recomienda al Grupo de Trabajo de Datos Abiertos de Panamá, tomar como referencia las herramientas y buenas prácticas ya procesadas en Colombia como una base de acción.</w:t>
      </w:r>
    </w:p>
    <w:p w14:paraId="16E4D8D8" w14:textId="3FF9B697" w:rsidR="002D56EE" w:rsidRPr="00C9115A" w:rsidRDefault="002D56EE" w:rsidP="002D56EE">
      <w:pPr>
        <w:ind w:firstLine="720"/>
        <w:jc w:val="both"/>
        <w:rPr>
          <w:rFonts w:ascii="Century Gothic" w:hAnsi="Century Gothic"/>
          <w:color w:val="000000" w:themeColor="text1"/>
          <w:sz w:val="24"/>
          <w:szCs w:val="24"/>
        </w:rPr>
      </w:pPr>
    </w:p>
    <w:p w14:paraId="2C2C121B" w14:textId="31BF5799" w:rsidR="00287855" w:rsidRPr="00A87C91" w:rsidRDefault="00287855" w:rsidP="003C279E">
      <w:pPr>
        <w:ind w:firstLine="720"/>
        <w:jc w:val="both"/>
        <w:rPr>
          <w:rFonts w:ascii="Century Gothic" w:hAnsi="Century Gothic"/>
          <w:i/>
          <w:iCs/>
          <w:color w:val="000000" w:themeColor="text1"/>
          <w:sz w:val="24"/>
          <w:szCs w:val="24"/>
        </w:rPr>
      </w:pPr>
    </w:p>
    <w:p w14:paraId="14904E7E" w14:textId="5EA30BE3" w:rsidR="00287855" w:rsidRPr="00A87C91" w:rsidRDefault="00287855" w:rsidP="003C279E">
      <w:pPr>
        <w:ind w:firstLine="720"/>
        <w:jc w:val="both"/>
        <w:rPr>
          <w:rFonts w:ascii="Century Gothic" w:hAnsi="Century Gothic"/>
          <w:i/>
          <w:iCs/>
          <w:color w:val="000000" w:themeColor="text1"/>
          <w:sz w:val="24"/>
          <w:szCs w:val="24"/>
        </w:rPr>
      </w:pPr>
      <w:r w:rsidRPr="00A87C91">
        <w:rPr>
          <w:rFonts w:ascii="Century Gothic" w:hAnsi="Century Gothic"/>
          <w:i/>
          <w:iCs/>
          <w:color w:val="000000" w:themeColor="text1"/>
          <w:sz w:val="24"/>
          <w:szCs w:val="24"/>
        </w:rPr>
        <w:t>El caso de Ecuador</w:t>
      </w:r>
    </w:p>
    <w:p w14:paraId="300BF189" w14:textId="553DE817" w:rsidR="002D56EE" w:rsidRPr="00A87C91" w:rsidRDefault="002D56EE" w:rsidP="003C279E">
      <w:pPr>
        <w:ind w:firstLine="720"/>
        <w:jc w:val="both"/>
        <w:rPr>
          <w:rFonts w:ascii="Century Gothic" w:hAnsi="Century Gothic"/>
          <w:i/>
          <w:iCs/>
          <w:color w:val="000000" w:themeColor="text1"/>
          <w:sz w:val="24"/>
          <w:szCs w:val="24"/>
        </w:rPr>
      </w:pPr>
    </w:p>
    <w:p w14:paraId="212FA885" w14:textId="0B6C39E1" w:rsidR="00BB607F" w:rsidRPr="00BB607F" w:rsidRDefault="00BB607F" w:rsidP="00BB607F">
      <w:pPr>
        <w:ind w:firstLine="720"/>
        <w:jc w:val="both"/>
        <w:rPr>
          <w:rFonts w:ascii="Century Gothic" w:hAnsi="Century Gothic"/>
          <w:color w:val="000000" w:themeColor="text1"/>
          <w:sz w:val="24"/>
          <w:szCs w:val="24"/>
        </w:rPr>
      </w:pPr>
      <w:r>
        <w:rPr>
          <w:rFonts w:ascii="Century Gothic" w:hAnsi="Century Gothic"/>
          <w:color w:val="000000" w:themeColor="text1"/>
          <w:sz w:val="24"/>
          <w:szCs w:val="24"/>
        </w:rPr>
        <w:t xml:space="preserve">En Ecuador también se han desarrollado avances relevantes en la implementación del PIDA, en dónde incluso no sólo el Gobierno Central sino algunos gobiernos locales han expresado su interés de sumarse a este proceso. Destaca además el rol que han tenido organizaciones de sociedad civil como </w:t>
      </w:r>
      <w:proofErr w:type="spellStart"/>
      <w:r>
        <w:rPr>
          <w:rFonts w:ascii="Century Gothic" w:hAnsi="Century Gothic"/>
          <w:color w:val="000000" w:themeColor="text1"/>
          <w:sz w:val="24"/>
          <w:szCs w:val="24"/>
        </w:rPr>
        <w:t>DataLat</w:t>
      </w:r>
      <w:proofErr w:type="spellEnd"/>
      <w:r>
        <w:rPr>
          <w:rStyle w:val="Refdenotaalpie"/>
          <w:rFonts w:ascii="Century Gothic" w:hAnsi="Century Gothic"/>
          <w:color w:val="000000" w:themeColor="text1"/>
          <w:sz w:val="24"/>
          <w:szCs w:val="24"/>
        </w:rPr>
        <w:footnoteReference w:id="10"/>
      </w:r>
      <w:r>
        <w:rPr>
          <w:rFonts w:ascii="Century Gothic" w:hAnsi="Century Gothic"/>
          <w:color w:val="000000" w:themeColor="text1"/>
          <w:sz w:val="24"/>
          <w:szCs w:val="24"/>
        </w:rPr>
        <w:t>, Fundación Ciudadanía y Desarrollo</w:t>
      </w:r>
      <w:r w:rsidR="001D2292">
        <w:rPr>
          <w:rStyle w:val="Refdenotaalpie"/>
          <w:rFonts w:ascii="Century Gothic" w:hAnsi="Century Gothic"/>
          <w:color w:val="000000" w:themeColor="text1"/>
          <w:sz w:val="24"/>
          <w:szCs w:val="24"/>
        </w:rPr>
        <w:footnoteReference w:id="11"/>
      </w:r>
      <w:r>
        <w:rPr>
          <w:rFonts w:ascii="Century Gothic" w:hAnsi="Century Gothic"/>
          <w:color w:val="000000" w:themeColor="text1"/>
          <w:sz w:val="24"/>
          <w:szCs w:val="24"/>
        </w:rPr>
        <w:t xml:space="preserve"> y </w:t>
      </w:r>
      <w:proofErr w:type="spellStart"/>
      <w:r>
        <w:rPr>
          <w:rFonts w:ascii="Century Gothic" w:hAnsi="Century Gothic"/>
          <w:color w:val="000000" w:themeColor="text1"/>
          <w:sz w:val="24"/>
          <w:szCs w:val="24"/>
        </w:rPr>
        <w:t>DataSketch</w:t>
      </w:r>
      <w:proofErr w:type="spellEnd"/>
      <w:r w:rsidR="001D2292">
        <w:rPr>
          <w:rStyle w:val="Refdenotaalpie"/>
          <w:rFonts w:ascii="Century Gothic" w:hAnsi="Century Gothic"/>
          <w:color w:val="000000" w:themeColor="text1"/>
          <w:sz w:val="24"/>
          <w:szCs w:val="24"/>
        </w:rPr>
        <w:footnoteReference w:id="12"/>
      </w:r>
      <w:r w:rsidR="00F04162">
        <w:rPr>
          <w:rFonts w:ascii="Century Gothic" w:hAnsi="Century Gothic"/>
          <w:color w:val="000000" w:themeColor="text1"/>
          <w:sz w:val="24"/>
          <w:szCs w:val="24"/>
        </w:rPr>
        <w:t xml:space="preserve"> </w:t>
      </w:r>
      <w:r w:rsidR="001D2292">
        <w:rPr>
          <w:rFonts w:ascii="Century Gothic" w:hAnsi="Century Gothic"/>
          <w:color w:val="000000" w:themeColor="text1"/>
          <w:sz w:val="24"/>
          <w:szCs w:val="24"/>
        </w:rPr>
        <w:lastRenderedPageBreak/>
        <w:t>acompañando a las instituciones públicas a avanzar en la apertura de los conjuntos de datos relevantes para el PIDA.</w:t>
      </w:r>
    </w:p>
    <w:p w14:paraId="6F9E41BA" w14:textId="129B06C6" w:rsidR="00AF76F0" w:rsidRPr="007E0E37" w:rsidRDefault="00F04162" w:rsidP="00D55217">
      <w:pPr>
        <w:jc w:val="both"/>
        <w:rPr>
          <w:rFonts w:ascii="Century Gothic" w:hAnsi="Century Gothic"/>
          <w:color w:val="000000" w:themeColor="text1"/>
          <w:sz w:val="24"/>
          <w:szCs w:val="24"/>
        </w:rPr>
      </w:pPr>
      <w:r>
        <w:rPr>
          <w:rFonts w:ascii="Century Gothic" w:hAnsi="Century Gothic"/>
          <w:color w:val="000000" w:themeColor="text1"/>
        </w:rPr>
        <w:tab/>
      </w:r>
      <w:r w:rsidRPr="007E0E37">
        <w:rPr>
          <w:rFonts w:ascii="Century Gothic" w:hAnsi="Century Gothic"/>
          <w:color w:val="000000" w:themeColor="text1"/>
          <w:sz w:val="24"/>
          <w:szCs w:val="24"/>
        </w:rPr>
        <w:t xml:space="preserve">Con el apoyo técnico de CAF y Open Data </w:t>
      </w:r>
      <w:proofErr w:type="spellStart"/>
      <w:r w:rsidRPr="007E0E37">
        <w:rPr>
          <w:rFonts w:ascii="Century Gothic" w:hAnsi="Century Gothic"/>
          <w:color w:val="000000" w:themeColor="text1"/>
          <w:sz w:val="24"/>
          <w:szCs w:val="24"/>
        </w:rPr>
        <w:t>Charter</w:t>
      </w:r>
      <w:proofErr w:type="spellEnd"/>
      <w:r w:rsidRPr="007E0E37">
        <w:rPr>
          <w:rFonts w:ascii="Century Gothic" w:hAnsi="Century Gothic"/>
          <w:color w:val="000000" w:themeColor="text1"/>
          <w:sz w:val="24"/>
          <w:szCs w:val="24"/>
        </w:rPr>
        <w:t>, desarroll</w:t>
      </w:r>
      <w:r w:rsidR="00EE348E" w:rsidRPr="007E0E37">
        <w:rPr>
          <w:rFonts w:ascii="Century Gothic" w:hAnsi="Century Gothic"/>
          <w:color w:val="000000" w:themeColor="text1"/>
          <w:sz w:val="24"/>
          <w:szCs w:val="24"/>
        </w:rPr>
        <w:t>aro</w:t>
      </w:r>
      <w:r w:rsidR="00AE3B82" w:rsidRPr="007E0E37">
        <w:rPr>
          <w:rFonts w:ascii="Century Gothic" w:hAnsi="Century Gothic"/>
          <w:color w:val="000000" w:themeColor="text1"/>
          <w:sz w:val="24"/>
          <w:szCs w:val="24"/>
        </w:rPr>
        <w:t>n</w:t>
      </w:r>
      <w:r w:rsidRPr="007E0E37">
        <w:rPr>
          <w:rFonts w:ascii="Century Gothic" w:hAnsi="Century Gothic"/>
          <w:color w:val="000000" w:themeColor="text1"/>
          <w:sz w:val="24"/>
          <w:szCs w:val="24"/>
        </w:rPr>
        <w:t xml:space="preserve"> la </w:t>
      </w:r>
      <w:r w:rsidRPr="007E0E37">
        <w:rPr>
          <w:rFonts w:ascii="Century Gothic" w:hAnsi="Century Gothic"/>
          <w:i/>
          <w:iCs/>
          <w:color w:val="000000" w:themeColor="text1"/>
          <w:sz w:val="24"/>
          <w:szCs w:val="24"/>
        </w:rPr>
        <w:t>“Hoja de Ruta para la apertura de datos anticorrupción en Ecuador”</w:t>
      </w:r>
      <w:r w:rsidR="00307162" w:rsidRPr="007E0E37">
        <w:rPr>
          <w:rStyle w:val="Refdenotaalpie"/>
          <w:rFonts w:ascii="Century Gothic" w:hAnsi="Century Gothic"/>
          <w:i/>
          <w:iCs/>
          <w:color w:val="000000" w:themeColor="text1"/>
          <w:sz w:val="24"/>
          <w:szCs w:val="24"/>
        </w:rPr>
        <w:footnoteReference w:id="13"/>
      </w:r>
      <w:r w:rsidRPr="007E0E37">
        <w:rPr>
          <w:rFonts w:ascii="Century Gothic" w:hAnsi="Century Gothic"/>
          <w:color w:val="000000" w:themeColor="text1"/>
          <w:sz w:val="24"/>
          <w:szCs w:val="24"/>
        </w:rPr>
        <w:t xml:space="preserve"> </w:t>
      </w:r>
      <w:r w:rsidR="00EE348E" w:rsidRPr="007E0E37">
        <w:rPr>
          <w:rFonts w:ascii="Century Gothic" w:hAnsi="Century Gothic"/>
          <w:color w:val="000000" w:themeColor="text1"/>
          <w:sz w:val="24"/>
          <w:szCs w:val="24"/>
        </w:rPr>
        <w:t>la cual hace un diagnóstico de los conjuntos de datos relevantes para combatir la corrupción, propone una priorización de los datos que deben ser abiertos y determina acciones de implementación del proceso con acciones de corto, mediano y largo plazo.</w:t>
      </w:r>
    </w:p>
    <w:p w14:paraId="605F8D8E" w14:textId="63576E55" w:rsidR="007E0E37" w:rsidRPr="007E0E37" w:rsidRDefault="007E0E37" w:rsidP="00D55217">
      <w:pPr>
        <w:jc w:val="both"/>
        <w:rPr>
          <w:rFonts w:ascii="Century Gothic" w:hAnsi="Century Gothic"/>
          <w:color w:val="000000" w:themeColor="text1"/>
          <w:sz w:val="24"/>
          <w:szCs w:val="24"/>
        </w:rPr>
      </w:pPr>
      <w:r w:rsidRPr="007E0E37">
        <w:rPr>
          <w:rFonts w:ascii="Century Gothic" w:hAnsi="Century Gothic"/>
          <w:color w:val="000000" w:themeColor="text1"/>
          <w:sz w:val="24"/>
          <w:szCs w:val="24"/>
        </w:rPr>
        <w:tab/>
        <w:t xml:space="preserve">Esta Hoja de Ruta es un recurso que se recomienda estudiar y replicar por el </w:t>
      </w:r>
      <w:r w:rsidRPr="007E0E37">
        <w:rPr>
          <w:rFonts w:ascii="Century Gothic" w:eastAsia="Times New Roman" w:hAnsi="Century Gothic" w:cs="Times New Roman"/>
          <w:color w:val="252525"/>
          <w:sz w:val="24"/>
          <w:szCs w:val="24"/>
          <w:lang w:val="es-CR"/>
        </w:rPr>
        <w:t xml:space="preserve">Grupo de Trabajo de Datos Abiertos de Panamá, para </w:t>
      </w:r>
      <w:r>
        <w:rPr>
          <w:rFonts w:ascii="Century Gothic" w:eastAsia="Times New Roman" w:hAnsi="Century Gothic" w:cs="Times New Roman"/>
          <w:color w:val="252525"/>
          <w:sz w:val="24"/>
          <w:szCs w:val="24"/>
          <w:lang w:val="es-CR"/>
        </w:rPr>
        <w:t>avanzar de manera ordenada y eficaz en la implementación de PIDA.</w:t>
      </w:r>
    </w:p>
    <w:p w14:paraId="0FB33D20" w14:textId="174E26BE" w:rsidR="00081E4C" w:rsidRPr="000E696C" w:rsidRDefault="00081E4C" w:rsidP="00081E4C">
      <w:pPr>
        <w:pStyle w:val="Ttulo1"/>
        <w:jc w:val="both"/>
        <w:rPr>
          <w:rFonts w:ascii="Century Gothic" w:hAnsi="Century Gothic"/>
          <w:color w:val="000000" w:themeColor="text1"/>
        </w:rPr>
      </w:pPr>
      <w:bookmarkStart w:id="2" w:name="_Toc100251348"/>
      <w:r w:rsidRPr="000E696C">
        <w:rPr>
          <w:rFonts w:ascii="Century Gothic" w:hAnsi="Century Gothic"/>
          <w:color w:val="000000" w:themeColor="text1"/>
        </w:rPr>
        <w:t>Marco Legal Panam</w:t>
      </w:r>
      <w:r w:rsidR="00430E8C" w:rsidRPr="000E696C">
        <w:rPr>
          <w:rFonts w:ascii="Century Gothic" w:hAnsi="Century Gothic"/>
          <w:color w:val="000000" w:themeColor="text1"/>
        </w:rPr>
        <w:t>e</w:t>
      </w:r>
      <w:r w:rsidRPr="000E696C">
        <w:rPr>
          <w:rFonts w:ascii="Century Gothic" w:hAnsi="Century Gothic"/>
          <w:color w:val="000000" w:themeColor="text1"/>
        </w:rPr>
        <w:t>ño</w:t>
      </w:r>
      <w:bookmarkEnd w:id="2"/>
    </w:p>
    <w:p w14:paraId="3FAE9D4E" w14:textId="77777777" w:rsidR="000D72F6" w:rsidRPr="000E696C" w:rsidRDefault="000D72F6" w:rsidP="00D55217">
      <w:pPr>
        <w:jc w:val="both"/>
        <w:rPr>
          <w:rFonts w:ascii="Century Gothic" w:hAnsi="Century Gothic"/>
          <w:color w:val="000000" w:themeColor="text1"/>
          <w:sz w:val="24"/>
          <w:szCs w:val="24"/>
        </w:rPr>
      </w:pPr>
      <w:r w:rsidRPr="000E696C">
        <w:rPr>
          <w:rFonts w:ascii="Century Gothic" w:hAnsi="Century Gothic"/>
          <w:color w:val="000000" w:themeColor="text1"/>
          <w:sz w:val="24"/>
          <w:szCs w:val="24"/>
        </w:rPr>
        <w:tab/>
      </w:r>
    </w:p>
    <w:p w14:paraId="2300B1E5" w14:textId="7BB6B7E7" w:rsidR="00AF76F0" w:rsidRPr="000E696C" w:rsidRDefault="000D72F6" w:rsidP="000D72F6">
      <w:pPr>
        <w:ind w:firstLine="720"/>
        <w:jc w:val="both"/>
        <w:rPr>
          <w:rFonts w:ascii="Century Gothic" w:hAnsi="Century Gothic"/>
          <w:color w:val="000000" w:themeColor="text1"/>
          <w:sz w:val="24"/>
          <w:szCs w:val="24"/>
        </w:rPr>
      </w:pPr>
      <w:r w:rsidRPr="000E696C">
        <w:rPr>
          <w:rFonts w:ascii="Century Gothic" w:hAnsi="Century Gothic"/>
          <w:color w:val="000000" w:themeColor="text1"/>
          <w:sz w:val="24"/>
          <w:szCs w:val="24"/>
        </w:rPr>
        <w:t>Para la efectiva implementación del PIDA en Panamá, es necesario identificar cuáles son las normas vigentes que permiten una articulación ordenada, vinculante y eficaz entre las instituciones</w:t>
      </w:r>
      <w:r w:rsidR="00C35976" w:rsidRPr="000E696C">
        <w:rPr>
          <w:rFonts w:ascii="Century Gothic" w:hAnsi="Century Gothic"/>
          <w:color w:val="000000" w:themeColor="text1"/>
          <w:sz w:val="24"/>
          <w:szCs w:val="24"/>
        </w:rPr>
        <w:t xml:space="preserve"> públicas</w:t>
      </w:r>
      <w:r w:rsidRPr="000E696C">
        <w:rPr>
          <w:rFonts w:ascii="Century Gothic" w:hAnsi="Century Gothic"/>
          <w:color w:val="000000" w:themeColor="text1"/>
          <w:sz w:val="24"/>
          <w:szCs w:val="24"/>
        </w:rPr>
        <w:t xml:space="preserve"> competentes </w:t>
      </w:r>
      <w:r w:rsidR="00C35976" w:rsidRPr="000E696C">
        <w:rPr>
          <w:rFonts w:ascii="Century Gothic" w:hAnsi="Century Gothic"/>
          <w:color w:val="000000" w:themeColor="text1"/>
          <w:sz w:val="24"/>
          <w:szCs w:val="24"/>
        </w:rPr>
        <w:t>para</w:t>
      </w:r>
      <w:r w:rsidRPr="000E696C">
        <w:rPr>
          <w:rFonts w:ascii="Century Gothic" w:hAnsi="Century Gothic"/>
          <w:color w:val="000000" w:themeColor="text1"/>
          <w:sz w:val="24"/>
          <w:szCs w:val="24"/>
        </w:rPr>
        <w:t xml:space="preserve"> producir, recolectar, abrir y difundir los datos que son relevantes </w:t>
      </w:r>
      <w:r w:rsidR="00C35976" w:rsidRPr="000E696C">
        <w:rPr>
          <w:rFonts w:ascii="Century Gothic" w:hAnsi="Century Gothic"/>
          <w:color w:val="000000" w:themeColor="text1"/>
          <w:sz w:val="24"/>
          <w:szCs w:val="24"/>
        </w:rPr>
        <w:t>en materia anticorrupción.</w:t>
      </w:r>
    </w:p>
    <w:p w14:paraId="2BBA038B" w14:textId="77777777" w:rsidR="000E5066" w:rsidRPr="000E696C" w:rsidRDefault="000E5066" w:rsidP="000D72F6">
      <w:pPr>
        <w:ind w:firstLine="720"/>
        <w:jc w:val="both"/>
        <w:rPr>
          <w:rFonts w:ascii="Century Gothic" w:hAnsi="Century Gothic"/>
          <w:color w:val="000000" w:themeColor="text1"/>
          <w:sz w:val="24"/>
          <w:szCs w:val="24"/>
        </w:rPr>
      </w:pPr>
    </w:p>
    <w:p w14:paraId="71166A1F" w14:textId="2D89598A" w:rsidR="00C35976" w:rsidRPr="000E696C" w:rsidRDefault="00C35976" w:rsidP="00C35976">
      <w:pPr>
        <w:ind w:firstLine="720"/>
        <w:jc w:val="both"/>
        <w:rPr>
          <w:rFonts w:ascii="Century Gothic" w:hAnsi="Century Gothic"/>
          <w:color w:val="000000" w:themeColor="text1"/>
          <w:sz w:val="24"/>
          <w:szCs w:val="24"/>
          <w:lang w:val="es-US"/>
        </w:rPr>
      </w:pPr>
      <w:r w:rsidRPr="000E696C">
        <w:rPr>
          <w:rFonts w:ascii="Century Gothic" w:hAnsi="Century Gothic"/>
          <w:color w:val="000000" w:themeColor="text1"/>
          <w:sz w:val="24"/>
          <w:szCs w:val="24"/>
        </w:rPr>
        <w:t xml:space="preserve">El Programa Interamericano de Datos Abiertos para combatir la </w:t>
      </w:r>
      <w:r w:rsidR="004E0C01" w:rsidRPr="000E696C">
        <w:rPr>
          <w:rFonts w:ascii="Century Gothic" w:hAnsi="Century Gothic"/>
          <w:color w:val="000000" w:themeColor="text1"/>
          <w:sz w:val="24"/>
          <w:szCs w:val="24"/>
        </w:rPr>
        <w:t>corrupción</w:t>
      </w:r>
      <w:r w:rsidRPr="000E696C">
        <w:rPr>
          <w:rFonts w:ascii="Century Gothic" w:hAnsi="Century Gothic"/>
          <w:color w:val="000000" w:themeColor="text1"/>
          <w:sz w:val="24"/>
          <w:szCs w:val="24"/>
        </w:rPr>
        <w:t xml:space="preserve"> reconoce como una base mínima para una adecuada transparencia activa los siguientes conjuntos de datos: </w:t>
      </w:r>
      <w:r w:rsidRPr="000E696C">
        <w:rPr>
          <w:rFonts w:ascii="Century Gothic" w:hAnsi="Century Gothic"/>
          <w:color w:val="000000" w:themeColor="text1"/>
          <w:sz w:val="24"/>
          <w:szCs w:val="24"/>
          <w:lang w:val="es-US"/>
        </w:rPr>
        <w:t>registro de cabilderos, declaración de intereses, registro de compañías, registro de organizaciones benéficas, servidores públicos que intervienen en procesos de contratación, personas políticamente expuestas, registro servidores públicos, lista de contratistas de gobierno, consejos consultivos de gobierno, financiamiento a partidos políticos, presupuesto, procesos de adquisición, licencias, asociaciones público privadas, gasto, subsidios de gobierno, cooperación internacional, contratos de gobierno, datos de auditorías, votaciones, decisiones judiciales, registro de obras de infraestructura prioritarias, record de reuniones, cambios en regulaciones, promesas de campaña, contratistas sancionados, quejas a procesos de adquisición, registro público de la propiedad, impuestos y declaración patrimonial, entre otros.</w:t>
      </w:r>
      <w:r w:rsidR="00EC697E" w:rsidRPr="000E696C">
        <w:rPr>
          <w:rStyle w:val="Refdenotaalpie"/>
          <w:rFonts w:ascii="Century Gothic" w:hAnsi="Century Gothic"/>
          <w:color w:val="000000" w:themeColor="text1"/>
          <w:sz w:val="24"/>
          <w:szCs w:val="24"/>
          <w:lang w:val="es-US"/>
        </w:rPr>
        <w:footnoteReference w:id="14"/>
      </w:r>
    </w:p>
    <w:p w14:paraId="596AE892" w14:textId="77777777" w:rsidR="000E5066" w:rsidRPr="000E696C" w:rsidRDefault="000E5066" w:rsidP="00C35976">
      <w:pPr>
        <w:ind w:firstLine="720"/>
        <w:jc w:val="both"/>
        <w:rPr>
          <w:rFonts w:ascii="Century Gothic" w:hAnsi="Century Gothic"/>
          <w:color w:val="000000" w:themeColor="text1"/>
          <w:sz w:val="24"/>
          <w:szCs w:val="24"/>
          <w:lang w:val="es-US"/>
        </w:rPr>
      </w:pPr>
    </w:p>
    <w:p w14:paraId="1B5FAD68" w14:textId="756920B2" w:rsidR="00430E8C" w:rsidRPr="000E696C" w:rsidRDefault="00E61C3F" w:rsidP="00C35976">
      <w:pPr>
        <w:ind w:firstLine="720"/>
        <w:jc w:val="both"/>
        <w:rPr>
          <w:rFonts w:ascii="Century Gothic" w:hAnsi="Century Gothic"/>
          <w:color w:val="000000" w:themeColor="text1"/>
          <w:sz w:val="24"/>
          <w:szCs w:val="24"/>
        </w:rPr>
      </w:pPr>
      <w:r w:rsidRPr="000E696C">
        <w:rPr>
          <w:rFonts w:ascii="Century Gothic" w:hAnsi="Century Gothic"/>
          <w:color w:val="000000" w:themeColor="text1"/>
          <w:sz w:val="24"/>
          <w:szCs w:val="24"/>
        </w:rPr>
        <w:lastRenderedPageBreak/>
        <w:t xml:space="preserve">Tal y como se evidencia en dicho listado, el grueso de los datos </w:t>
      </w:r>
      <w:r w:rsidR="00FE2E78" w:rsidRPr="000E696C">
        <w:rPr>
          <w:rFonts w:ascii="Century Gothic" w:hAnsi="Century Gothic"/>
          <w:color w:val="000000" w:themeColor="text1"/>
          <w:sz w:val="24"/>
          <w:szCs w:val="24"/>
        </w:rPr>
        <w:t xml:space="preserve">es </w:t>
      </w:r>
      <w:r w:rsidRPr="000E696C">
        <w:rPr>
          <w:rFonts w:ascii="Century Gothic" w:hAnsi="Century Gothic"/>
          <w:color w:val="000000" w:themeColor="text1"/>
          <w:sz w:val="24"/>
          <w:szCs w:val="24"/>
        </w:rPr>
        <w:t xml:space="preserve">de carácter gubernamental, pero hay otra serie de información pública que corresponde a otros entes u órganos estatales, como el Poder Judicial o gobiernos locales, así como el involucramiento del Congreso en lo que se considere oportuno para avanzar en la aprobación de normativa </w:t>
      </w:r>
      <w:r w:rsidR="007A42B3" w:rsidRPr="000E696C">
        <w:rPr>
          <w:rFonts w:ascii="Century Gothic" w:hAnsi="Century Gothic"/>
          <w:color w:val="000000" w:themeColor="text1"/>
          <w:sz w:val="24"/>
          <w:szCs w:val="24"/>
        </w:rPr>
        <w:t>innovadora y abierta.</w:t>
      </w:r>
    </w:p>
    <w:p w14:paraId="5D184FF0" w14:textId="08BF8D06" w:rsidR="000E5066" w:rsidRPr="000E696C" w:rsidRDefault="000E5066" w:rsidP="00C35976">
      <w:pPr>
        <w:ind w:firstLine="720"/>
        <w:jc w:val="both"/>
        <w:rPr>
          <w:rFonts w:ascii="Century Gothic" w:hAnsi="Century Gothic"/>
          <w:color w:val="000000" w:themeColor="text1"/>
          <w:sz w:val="24"/>
          <w:szCs w:val="24"/>
        </w:rPr>
      </w:pPr>
    </w:p>
    <w:p w14:paraId="3791C2B2" w14:textId="5A892EF9" w:rsidR="000E5066" w:rsidRPr="000E696C" w:rsidRDefault="00C16012" w:rsidP="00C35976">
      <w:pPr>
        <w:ind w:firstLine="720"/>
        <w:jc w:val="both"/>
        <w:rPr>
          <w:rFonts w:ascii="Century Gothic" w:hAnsi="Century Gothic"/>
          <w:color w:val="000000" w:themeColor="text1"/>
          <w:sz w:val="24"/>
          <w:szCs w:val="24"/>
        </w:rPr>
      </w:pPr>
      <w:r w:rsidRPr="000E696C">
        <w:rPr>
          <w:rFonts w:ascii="Century Gothic" w:hAnsi="Century Gothic"/>
          <w:color w:val="000000" w:themeColor="text1"/>
          <w:sz w:val="24"/>
          <w:szCs w:val="24"/>
        </w:rPr>
        <w:t xml:space="preserve">A continuación, se destaca la normativa más relevante aplicable por la Autoridad Nacional de Transparencia y Acceso a la Información </w:t>
      </w:r>
      <w:r w:rsidR="0066752A">
        <w:rPr>
          <w:rFonts w:ascii="Century Gothic" w:hAnsi="Century Gothic"/>
          <w:color w:val="000000" w:themeColor="text1"/>
          <w:sz w:val="24"/>
          <w:szCs w:val="24"/>
        </w:rPr>
        <w:t xml:space="preserve">(ANTAI) </w:t>
      </w:r>
      <w:r w:rsidRPr="000E696C">
        <w:rPr>
          <w:rFonts w:ascii="Century Gothic" w:hAnsi="Century Gothic"/>
          <w:color w:val="000000" w:themeColor="text1"/>
          <w:sz w:val="24"/>
          <w:szCs w:val="24"/>
        </w:rPr>
        <w:t>para tener una coordinación efectiva con todos los actores necesarios para avanzar en la implementación del PIDA en Panamá. Este mapeo incorpora instrumentos internacionales y nacionales relevantes en materia de Gobierno Abierto, transparencia, acceso a la información, anticorrupción, participación ciudadana, compras públicas y datos abiertos.</w:t>
      </w:r>
    </w:p>
    <w:p w14:paraId="544AB174" w14:textId="77777777" w:rsidR="001C3750" w:rsidRPr="000E696C" w:rsidRDefault="001C3750" w:rsidP="001C3750">
      <w:pPr>
        <w:pStyle w:val="Ttulo2"/>
        <w:jc w:val="both"/>
        <w:rPr>
          <w:rFonts w:ascii="Century Gothic" w:hAnsi="Century Gothic"/>
          <w:color w:val="000000" w:themeColor="text1"/>
        </w:rPr>
      </w:pPr>
      <w:bookmarkStart w:id="3" w:name="_Toc100251349"/>
      <w:r w:rsidRPr="000E696C">
        <w:rPr>
          <w:rFonts w:ascii="Century Gothic" w:hAnsi="Century Gothic"/>
          <w:color w:val="000000" w:themeColor="text1"/>
        </w:rPr>
        <w:t>Convenios Internacionales</w:t>
      </w:r>
      <w:bookmarkEnd w:id="3"/>
      <w:r w:rsidRPr="000E696C">
        <w:rPr>
          <w:rFonts w:ascii="Century Gothic" w:hAnsi="Century Gothic"/>
          <w:color w:val="000000" w:themeColor="text1"/>
        </w:rPr>
        <w:t xml:space="preserve"> </w:t>
      </w:r>
    </w:p>
    <w:p w14:paraId="4B2823A5" w14:textId="093CE179" w:rsidR="001C3750" w:rsidRPr="000E696C" w:rsidRDefault="001C3750" w:rsidP="004E0C01">
      <w:pPr>
        <w:rPr>
          <w:color w:val="000000" w:themeColor="text1"/>
        </w:rPr>
      </w:pPr>
    </w:p>
    <w:p w14:paraId="343AD08E" w14:textId="77777777" w:rsidR="004E0C01" w:rsidRPr="000E696C" w:rsidRDefault="004E0C01" w:rsidP="00E43E3B">
      <w:pPr>
        <w:ind w:firstLine="720"/>
        <w:jc w:val="both"/>
        <w:rPr>
          <w:rFonts w:ascii="Century Gothic" w:hAnsi="Century Gothic"/>
          <w:color w:val="000000" w:themeColor="text1"/>
          <w:sz w:val="24"/>
          <w:szCs w:val="24"/>
        </w:rPr>
      </w:pPr>
      <w:r w:rsidRPr="000E696C">
        <w:rPr>
          <w:rFonts w:ascii="Century Gothic" w:hAnsi="Century Gothic"/>
          <w:color w:val="000000" w:themeColor="text1"/>
          <w:sz w:val="24"/>
          <w:szCs w:val="24"/>
        </w:rPr>
        <w:t>En lo que respecta a instrumentos internacionales relevantes para el PIDA y suscritos por el Estado Panameño destacan:</w:t>
      </w:r>
    </w:p>
    <w:p w14:paraId="230FCC54" w14:textId="77777777" w:rsidR="004E0C01" w:rsidRPr="000E696C" w:rsidRDefault="004E0C01" w:rsidP="004E0C01">
      <w:pPr>
        <w:ind w:firstLine="720"/>
        <w:rPr>
          <w:rFonts w:ascii="Century Gothic" w:hAnsi="Century Gothic"/>
          <w:color w:val="000000" w:themeColor="text1"/>
          <w:sz w:val="24"/>
          <w:szCs w:val="24"/>
        </w:rPr>
      </w:pPr>
    </w:p>
    <w:p w14:paraId="60881B89" w14:textId="69966C85" w:rsidR="00AB7E5B" w:rsidRPr="000E696C" w:rsidRDefault="00AB7E5B" w:rsidP="00AB7E5B">
      <w:pPr>
        <w:pStyle w:val="Prrafodelista"/>
        <w:numPr>
          <w:ilvl w:val="0"/>
          <w:numId w:val="11"/>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Convención Interamericana Contra la Corrupción</w:t>
      </w:r>
      <w:r w:rsidRPr="000E696C">
        <w:rPr>
          <w:rFonts w:ascii="Century Gothic" w:hAnsi="Century Gothic"/>
          <w:color w:val="000000" w:themeColor="text1"/>
          <w:sz w:val="24"/>
          <w:szCs w:val="24"/>
        </w:rPr>
        <w:t>, ratificada por Panamá el 10 de agosto de 1998.  Establece en su artículo tercero el deber de los Estados Partes de adoptar medidas preventivas anticorrupción tales como: (1) Establecer la obligatoriedad de los funcionarios públicos de denunciar los presuntos actos de corrupción, (5) Asegurar la publicidad, equidad y eficiencia en los sistemas de adquisición de bienes y servicios públicos, (8) Crear un sistema para proteger a las personas funcionarias públicas y ciudadanos en general que denuncien actos de corrupción, (9) Crear órganos de control superior con el fin de desarrollar mecanismos modernos para prevenir, detectar, sancionar y erradicar prácticas corruptas; y (11) Implementar mecanismos para estimular la participación de la sociedad civil y de las organizaciones no gubernamentales en los esfuerzos destinados a prevenir la corrupción.</w:t>
      </w:r>
    </w:p>
    <w:p w14:paraId="4ACE0EDF" w14:textId="77777777" w:rsidR="00AB7E5B" w:rsidRPr="000E696C" w:rsidRDefault="00AB7E5B" w:rsidP="00AB7E5B">
      <w:pPr>
        <w:pStyle w:val="Prrafodelista"/>
        <w:ind w:left="1080"/>
        <w:jc w:val="both"/>
        <w:rPr>
          <w:rFonts w:ascii="Century Gothic" w:hAnsi="Century Gothic"/>
          <w:color w:val="000000" w:themeColor="text1"/>
          <w:sz w:val="24"/>
          <w:szCs w:val="24"/>
        </w:rPr>
      </w:pPr>
    </w:p>
    <w:p w14:paraId="29EF5B26" w14:textId="18347970" w:rsidR="00AB7E5B" w:rsidRPr="000E696C" w:rsidRDefault="00AB7E5B" w:rsidP="00AB7E5B">
      <w:pPr>
        <w:pStyle w:val="Prrafodelista"/>
        <w:numPr>
          <w:ilvl w:val="0"/>
          <w:numId w:val="11"/>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Convención de las Naciones Unidas Contra la Corrupción</w:t>
      </w:r>
      <w:r w:rsidRPr="000E696C">
        <w:rPr>
          <w:rFonts w:ascii="Century Gothic" w:hAnsi="Century Gothic"/>
          <w:color w:val="000000" w:themeColor="text1"/>
          <w:sz w:val="24"/>
          <w:szCs w:val="24"/>
        </w:rPr>
        <w:t xml:space="preserve">, ratificada por Panamá el 31 de octubre de 2003. Resultan de especial relevancia la obligatoriedad de los Estados Partes contenida en el artículo 6, de establecer un órgano con independencia suficiente que diseñe y ejecute medidas para prevenir la corrupción. </w:t>
      </w:r>
      <w:r w:rsidRPr="000E696C">
        <w:rPr>
          <w:rFonts w:ascii="Century Gothic" w:hAnsi="Century Gothic"/>
          <w:color w:val="000000" w:themeColor="text1"/>
          <w:sz w:val="24"/>
          <w:szCs w:val="24"/>
        </w:rPr>
        <w:br/>
        <w:t xml:space="preserve">De igual forma, se dispone en el artículo 9 una serie de medidas que </w:t>
      </w:r>
      <w:r w:rsidRPr="000E696C">
        <w:rPr>
          <w:rFonts w:ascii="Century Gothic" w:hAnsi="Century Gothic"/>
          <w:color w:val="000000" w:themeColor="text1"/>
          <w:sz w:val="24"/>
          <w:szCs w:val="24"/>
        </w:rPr>
        <w:lastRenderedPageBreak/>
        <w:t>deben adoptarse en los procesos de contratación pública, como transparencia, publicidad, difusión de la información, claridad en las condiciones de participación y criterios de selección, así como garantizar la fase recursiva de los actos adjudicatarios. Por su parte, el artículo 10 regula lo concerniente a la información pública, estableciendo una guía de medidas que pueden ser adoptadas entre las que menciona la simplificación de trámite de acceso a la información pública y a las autoridades encargadas de toma de decisión, así como la publicación de informes periódicos sobre riegos de corrupción en la Administración Pública.</w:t>
      </w:r>
      <w:r w:rsidRPr="000E696C">
        <w:rPr>
          <w:rFonts w:ascii="Century Gothic" w:hAnsi="Century Gothic"/>
          <w:color w:val="000000" w:themeColor="text1"/>
          <w:sz w:val="24"/>
          <w:szCs w:val="24"/>
        </w:rPr>
        <w:br/>
        <w:t>El artículo 13 desarrolla una serie de recomendaciones sobre la participación de la sociedad y de organizaciones no gubernamentales en la lucha contra la corrupción, como el de promover la participación de estos en los procesos de toma de decisión, garantizar el acceso eficaz a la información pública, y estimular la divulgación de información relacionada a la prevención de estas conductas.</w:t>
      </w:r>
    </w:p>
    <w:p w14:paraId="30237B6E" w14:textId="77777777" w:rsidR="00AB7E5B" w:rsidRPr="000E696C" w:rsidRDefault="00AB7E5B" w:rsidP="00AB7E5B">
      <w:pPr>
        <w:pStyle w:val="Prrafodelista"/>
        <w:ind w:left="1080"/>
        <w:jc w:val="both"/>
        <w:rPr>
          <w:rFonts w:ascii="Century Gothic" w:hAnsi="Century Gothic"/>
          <w:color w:val="000000" w:themeColor="text1"/>
          <w:sz w:val="24"/>
          <w:szCs w:val="24"/>
        </w:rPr>
      </w:pPr>
    </w:p>
    <w:p w14:paraId="7FA2865E" w14:textId="48B380D9" w:rsidR="004E0C01" w:rsidRPr="000E696C" w:rsidRDefault="00AB7E5B" w:rsidP="00AB7E5B">
      <w:pPr>
        <w:pStyle w:val="Prrafodelista"/>
        <w:numPr>
          <w:ilvl w:val="0"/>
          <w:numId w:val="11"/>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Acuerdo para la Constitución de la Academia Internacional contra la Corrupción como Organización Internacional</w:t>
      </w:r>
      <w:r w:rsidRPr="000E696C">
        <w:rPr>
          <w:rFonts w:ascii="Century Gothic" w:hAnsi="Century Gothic"/>
          <w:color w:val="000000" w:themeColor="text1"/>
          <w:sz w:val="24"/>
          <w:szCs w:val="24"/>
        </w:rPr>
        <w:t>, ratificado por Panamá el 19 de diciembre de 2012. En el artículo 2, se establece entre sus finalidades la enseñanza y formación profesional, la investigación y la asistencia técnica en materia de prevención y lucha contra la corrupción.</w:t>
      </w:r>
    </w:p>
    <w:p w14:paraId="52FF2765" w14:textId="77777777" w:rsidR="00BE7FF2" w:rsidRPr="000E696C" w:rsidRDefault="00BE7FF2" w:rsidP="00BE7FF2">
      <w:pPr>
        <w:pStyle w:val="Prrafodelista"/>
        <w:rPr>
          <w:rFonts w:ascii="Century Gothic" w:hAnsi="Century Gothic"/>
          <w:color w:val="000000" w:themeColor="text1"/>
          <w:sz w:val="24"/>
          <w:szCs w:val="24"/>
        </w:rPr>
      </w:pPr>
    </w:p>
    <w:p w14:paraId="2962EBDC" w14:textId="6B56AB1C" w:rsidR="00BE7FF2" w:rsidRPr="000E696C" w:rsidRDefault="00BE7FF2" w:rsidP="00BE7FF2">
      <w:pPr>
        <w:ind w:firstLine="720"/>
        <w:jc w:val="both"/>
        <w:rPr>
          <w:rFonts w:ascii="Century Gothic" w:hAnsi="Century Gothic"/>
          <w:color w:val="000000" w:themeColor="text1"/>
          <w:sz w:val="24"/>
          <w:szCs w:val="24"/>
        </w:rPr>
      </w:pPr>
      <w:r w:rsidRPr="000E696C">
        <w:rPr>
          <w:rFonts w:ascii="Century Gothic" w:hAnsi="Century Gothic"/>
          <w:color w:val="000000" w:themeColor="text1"/>
          <w:sz w:val="24"/>
          <w:szCs w:val="24"/>
        </w:rPr>
        <w:t xml:space="preserve">El </w:t>
      </w:r>
      <w:r w:rsidR="004E2E98" w:rsidRPr="000E696C">
        <w:rPr>
          <w:rFonts w:ascii="Century Gothic" w:hAnsi="Century Gothic"/>
          <w:color w:val="000000" w:themeColor="text1"/>
          <w:sz w:val="24"/>
          <w:szCs w:val="24"/>
        </w:rPr>
        <w:t>PIDA</w:t>
      </w:r>
      <w:r w:rsidR="004E2E98">
        <w:rPr>
          <w:rFonts w:ascii="Century Gothic" w:hAnsi="Century Gothic"/>
          <w:color w:val="000000" w:themeColor="text1"/>
          <w:sz w:val="24"/>
          <w:szCs w:val="24"/>
        </w:rPr>
        <w:t xml:space="preserve"> </w:t>
      </w:r>
      <w:r w:rsidRPr="000E696C">
        <w:rPr>
          <w:rFonts w:ascii="Century Gothic" w:hAnsi="Century Gothic"/>
          <w:color w:val="000000" w:themeColor="text1"/>
          <w:sz w:val="24"/>
          <w:szCs w:val="24"/>
        </w:rPr>
        <w:t>está alineado a esta normativa, por lo que se convierte en un recurso de gran valor operativo para el cumplimiento de estos Convenios Internacionales.</w:t>
      </w:r>
    </w:p>
    <w:p w14:paraId="55362BDD" w14:textId="3155FF19" w:rsidR="001C3750" w:rsidRPr="000E696C" w:rsidRDefault="001C3750" w:rsidP="001C3750">
      <w:pPr>
        <w:pStyle w:val="Ttulo2"/>
        <w:jc w:val="both"/>
        <w:rPr>
          <w:rFonts w:ascii="Century Gothic" w:hAnsi="Century Gothic"/>
          <w:color w:val="000000" w:themeColor="text1"/>
        </w:rPr>
      </w:pPr>
      <w:bookmarkStart w:id="4" w:name="_Toc100251350"/>
      <w:r w:rsidRPr="000E696C">
        <w:rPr>
          <w:rFonts w:ascii="Century Gothic" w:hAnsi="Century Gothic"/>
          <w:color w:val="000000" w:themeColor="text1"/>
        </w:rPr>
        <w:t>Leyes</w:t>
      </w:r>
      <w:bookmarkEnd w:id="4"/>
      <w:r w:rsidRPr="000E696C">
        <w:rPr>
          <w:rFonts w:ascii="Century Gothic" w:hAnsi="Century Gothic"/>
          <w:color w:val="000000" w:themeColor="text1"/>
        </w:rPr>
        <w:t xml:space="preserve"> </w:t>
      </w:r>
    </w:p>
    <w:p w14:paraId="4709A1BD" w14:textId="303A758F" w:rsidR="001C3750" w:rsidRPr="000E696C" w:rsidRDefault="00EE4911" w:rsidP="00EE4911">
      <w:pPr>
        <w:pStyle w:val="Ttulo2"/>
        <w:ind w:firstLine="720"/>
        <w:jc w:val="both"/>
        <w:rPr>
          <w:rFonts w:ascii="Century Gothic" w:hAnsi="Century Gothic"/>
          <w:color w:val="000000" w:themeColor="text1"/>
          <w:sz w:val="24"/>
          <w:szCs w:val="24"/>
        </w:rPr>
      </w:pPr>
      <w:bookmarkStart w:id="5" w:name="_Toc100251351"/>
      <w:r w:rsidRPr="000E696C">
        <w:rPr>
          <w:rFonts w:ascii="Century Gothic" w:hAnsi="Century Gothic"/>
          <w:color w:val="000000" w:themeColor="text1"/>
          <w:sz w:val="24"/>
          <w:szCs w:val="24"/>
        </w:rPr>
        <w:t xml:space="preserve">En lo que respecta a </w:t>
      </w:r>
      <w:r w:rsidR="00C01164">
        <w:rPr>
          <w:rFonts w:ascii="Century Gothic" w:hAnsi="Century Gothic"/>
          <w:color w:val="000000" w:themeColor="text1"/>
          <w:sz w:val="24"/>
          <w:szCs w:val="24"/>
        </w:rPr>
        <w:t>normas nacionales con rango de ley,</w:t>
      </w:r>
      <w:r w:rsidRPr="000E696C">
        <w:rPr>
          <w:rFonts w:ascii="Century Gothic" w:hAnsi="Century Gothic"/>
          <w:color w:val="000000" w:themeColor="text1"/>
          <w:sz w:val="24"/>
          <w:szCs w:val="24"/>
        </w:rPr>
        <w:t xml:space="preserve"> relevantes para el PIDA y suscritos por el Estado Panameño destacan:</w:t>
      </w:r>
      <w:bookmarkEnd w:id="5"/>
    </w:p>
    <w:p w14:paraId="1E205C1B" w14:textId="5A7A4965" w:rsidR="00EE4911" w:rsidRPr="000E696C" w:rsidRDefault="00EE4911" w:rsidP="00EE4911">
      <w:pPr>
        <w:rPr>
          <w:rFonts w:ascii="Century Gothic" w:hAnsi="Century Gothic"/>
          <w:color w:val="000000" w:themeColor="text1"/>
          <w:sz w:val="24"/>
          <w:szCs w:val="24"/>
        </w:rPr>
      </w:pPr>
    </w:p>
    <w:p w14:paraId="205E913B" w14:textId="62C165B1" w:rsidR="00EE4911" w:rsidRPr="000E696C" w:rsidRDefault="00F847A3" w:rsidP="00285C12">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t>Constitución Política:</w:t>
      </w:r>
      <w:r w:rsidR="00285C12" w:rsidRPr="000E696C">
        <w:rPr>
          <w:rFonts w:ascii="Century Gothic" w:hAnsi="Century Gothic"/>
          <w:b/>
          <w:bCs/>
          <w:color w:val="000000" w:themeColor="text1"/>
          <w:sz w:val="24"/>
          <w:szCs w:val="24"/>
        </w:rPr>
        <w:t xml:space="preserve"> </w:t>
      </w:r>
      <w:r w:rsidR="00285C12" w:rsidRPr="000E696C">
        <w:rPr>
          <w:rFonts w:ascii="Century Gothic" w:hAnsi="Century Gothic"/>
          <w:color w:val="000000" w:themeColor="text1"/>
          <w:sz w:val="24"/>
          <w:szCs w:val="24"/>
        </w:rPr>
        <w:t>De la principal norma nacional de Panamá, destacan los artículos 42, 43, 44, 200, 219, 233, 266, 279, 280, 281, 304 y 309 que le dan un mandato al Estado Panameño a través de diversas inst</w:t>
      </w:r>
      <w:r w:rsidR="005B7B6F" w:rsidRPr="000E696C">
        <w:rPr>
          <w:rFonts w:ascii="Century Gothic" w:hAnsi="Century Gothic"/>
          <w:color w:val="000000" w:themeColor="text1"/>
          <w:sz w:val="24"/>
          <w:szCs w:val="24"/>
        </w:rPr>
        <w:t>ituciones para el efectivo cumplimiento del derecho de acceso a la información y la participación ciudadana, así como la transparencia de los asuntos públicos.</w:t>
      </w:r>
    </w:p>
    <w:p w14:paraId="6D967E12" w14:textId="6F9E0F43" w:rsidR="00F847A3" w:rsidRPr="000E696C" w:rsidRDefault="00F847A3" w:rsidP="00285C12">
      <w:pPr>
        <w:jc w:val="both"/>
        <w:rPr>
          <w:rFonts w:ascii="Century Gothic" w:hAnsi="Century Gothic"/>
          <w:b/>
          <w:bCs/>
          <w:color w:val="000000" w:themeColor="text1"/>
          <w:sz w:val="24"/>
          <w:szCs w:val="24"/>
        </w:rPr>
      </w:pPr>
    </w:p>
    <w:p w14:paraId="420081B6" w14:textId="16CA56DF" w:rsidR="00F847A3" w:rsidRPr="000E696C" w:rsidRDefault="005B7B6F" w:rsidP="003F35C4">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lastRenderedPageBreak/>
        <w:t>Ley Nº 32, 1984. Orgánica de la Contraloría General de la República</w:t>
      </w:r>
      <w:r w:rsidR="003F35C4" w:rsidRPr="000E696C">
        <w:rPr>
          <w:rFonts w:ascii="Century Gothic" w:hAnsi="Century Gothic"/>
          <w:b/>
          <w:bCs/>
          <w:color w:val="000000" w:themeColor="text1"/>
          <w:sz w:val="24"/>
          <w:szCs w:val="24"/>
        </w:rPr>
        <w:t xml:space="preserve">: </w:t>
      </w:r>
      <w:r w:rsidR="003F35C4" w:rsidRPr="000E696C">
        <w:rPr>
          <w:rFonts w:ascii="Century Gothic" w:hAnsi="Century Gothic"/>
          <w:color w:val="000000" w:themeColor="text1"/>
          <w:sz w:val="24"/>
          <w:szCs w:val="24"/>
        </w:rPr>
        <w:t xml:space="preserve">Al establecer los roles y funciones del principal ente contralor del Estado, </w:t>
      </w:r>
      <w:r w:rsidR="00203307" w:rsidRPr="000E696C">
        <w:rPr>
          <w:rFonts w:ascii="Century Gothic" w:hAnsi="Century Gothic"/>
          <w:color w:val="000000" w:themeColor="text1"/>
          <w:sz w:val="24"/>
          <w:szCs w:val="24"/>
        </w:rPr>
        <w:t xml:space="preserve">la Contraloría </w:t>
      </w:r>
      <w:r w:rsidR="003F35C4" w:rsidRPr="000E696C">
        <w:rPr>
          <w:rFonts w:ascii="Century Gothic" w:hAnsi="Century Gothic"/>
          <w:color w:val="000000" w:themeColor="text1"/>
          <w:sz w:val="24"/>
          <w:szCs w:val="24"/>
        </w:rPr>
        <w:t>se convierte en uno de los actores fundamentales en materia anticorrupción, por lo que su participación en los procesos de datos abiertos se vuelve completamente relevante, ya que además de producir una serie de conjuntos de datos relevantes para efectos del PIDA</w:t>
      </w:r>
      <w:r w:rsidR="0066752A">
        <w:rPr>
          <w:rFonts w:ascii="Century Gothic" w:hAnsi="Century Gothic"/>
          <w:color w:val="000000" w:themeColor="text1"/>
          <w:sz w:val="24"/>
          <w:szCs w:val="24"/>
        </w:rPr>
        <w:t>,</w:t>
      </w:r>
      <w:r w:rsidR="003F35C4" w:rsidRPr="000E696C">
        <w:rPr>
          <w:rFonts w:ascii="Century Gothic" w:hAnsi="Century Gothic"/>
          <w:color w:val="000000" w:themeColor="text1"/>
          <w:sz w:val="24"/>
          <w:szCs w:val="24"/>
        </w:rPr>
        <w:t xml:space="preserve"> es una institución aliada necesaria para la promoción de buenas prácticas en </w:t>
      </w:r>
      <w:r w:rsidR="00D26C40">
        <w:rPr>
          <w:rFonts w:ascii="Century Gothic" w:hAnsi="Century Gothic"/>
          <w:color w:val="000000" w:themeColor="text1"/>
          <w:sz w:val="24"/>
          <w:szCs w:val="24"/>
        </w:rPr>
        <w:t xml:space="preserve">la </w:t>
      </w:r>
      <w:r w:rsidR="003F35C4" w:rsidRPr="000E696C">
        <w:rPr>
          <w:rFonts w:ascii="Century Gothic" w:hAnsi="Century Gothic"/>
          <w:color w:val="000000" w:themeColor="text1"/>
          <w:sz w:val="24"/>
          <w:szCs w:val="24"/>
        </w:rPr>
        <w:t>materia</w:t>
      </w:r>
      <w:r w:rsidR="000D357A" w:rsidRPr="000E696C">
        <w:rPr>
          <w:rFonts w:ascii="Century Gothic" w:hAnsi="Century Gothic"/>
          <w:color w:val="000000" w:themeColor="text1"/>
          <w:sz w:val="24"/>
          <w:szCs w:val="24"/>
        </w:rPr>
        <w:t>.</w:t>
      </w:r>
    </w:p>
    <w:p w14:paraId="7A02BB13" w14:textId="77777777" w:rsidR="00F32F3C" w:rsidRPr="000E696C" w:rsidRDefault="00F32F3C" w:rsidP="00F32F3C">
      <w:pPr>
        <w:pStyle w:val="Prrafodelista"/>
        <w:rPr>
          <w:rFonts w:ascii="Century Gothic" w:hAnsi="Century Gothic"/>
          <w:b/>
          <w:bCs/>
          <w:color w:val="000000" w:themeColor="text1"/>
          <w:sz w:val="24"/>
          <w:szCs w:val="24"/>
        </w:rPr>
      </w:pPr>
    </w:p>
    <w:p w14:paraId="533A45CD" w14:textId="5828D5CC" w:rsidR="00F32F3C" w:rsidRPr="000E696C" w:rsidRDefault="00F32F3C" w:rsidP="00F32F3C">
      <w:pPr>
        <w:pStyle w:val="Prrafodelista"/>
        <w:jc w:val="both"/>
        <w:rPr>
          <w:rFonts w:ascii="Century Gothic" w:hAnsi="Century Gothic"/>
          <w:color w:val="000000" w:themeColor="text1"/>
          <w:sz w:val="24"/>
          <w:szCs w:val="24"/>
        </w:rPr>
      </w:pPr>
      <w:r w:rsidRPr="000E696C">
        <w:rPr>
          <w:rFonts w:ascii="Century Gothic" w:hAnsi="Century Gothic"/>
          <w:color w:val="000000" w:themeColor="text1"/>
          <w:sz w:val="24"/>
          <w:szCs w:val="24"/>
        </w:rPr>
        <w:t xml:space="preserve">Vale la pena mencionar su reforma a través de la </w:t>
      </w:r>
      <w:r w:rsidRPr="000E696C">
        <w:rPr>
          <w:rFonts w:ascii="Century Gothic" w:hAnsi="Century Gothic"/>
          <w:b/>
          <w:bCs/>
          <w:color w:val="000000" w:themeColor="text1"/>
          <w:sz w:val="24"/>
          <w:szCs w:val="24"/>
        </w:rPr>
        <w:t>Ley N° 67, 2008</w:t>
      </w:r>
      <w:r w:rsidRPr="000E696C">
        <w:rPr>
          <w:rFonts w:ascii="Century Gothic" w:hAnsi="Century Gothic"/>
          <w:color w:val="000000" w:themeColor="text1"/>
          <w:sz w:val="24"/>
          <w:szCs w:val="24"/>
        </w:rPr>
        <w:t xml:space="preserve"> que crea la jurisdicción de cuentas encargada de juzgar la responsabilidad patrimonial derivada de supuestas irregularidades, contenidas en los reparos formulados por la Contraloría General de la República a las cuentas de los empleados y agentes en el manejo de fondos y bienes públicos</w:t>
      </w:r>
      <w:r w:rsidR="007F37E5" w:rsidRPr="000E696C">
        <w:rPr>
          <w:rFonts w:ascii="Century Gothic" w:hAnsi="Century Gothic"/>
          <w:color w:val="000000" w:themeColor="text1"/>
          <w:sz w:val="24"/>
          <w:szCs w:val="24"/>
        </w:rPr>
        <w:t>, así como el respectivo Tribunal y Fiscalía de Cuentas.</w:t>
      </w:r>
    </w:p>
    <w:p w14:paraId="7935F28E" w14:textId="77777777" w:rsidR="000D357A" w:rsidRPr="000E696C" w:rsidRDefault="000D357A" w:rsidP="000D357A">
      <w:pPr>
        <w:pStyle w:val="Prrafodelista"/>
        <w:rPr>
          <w:rFonts w:ascii="Century Gothic" w:hAnsi="Century Gothic"/>
          <w:b/>
          <w:bCs/>
          <w:color w:val="000000" w:themeColor="text1"/>
          <w:sz w:val="24"/>
          <w:szCs w:val="24"/>
        </w:rPr>
      </w:pPr>
    </w:p>
    <w:p w14:paraId="3E165133" w14:textId="49CA00C8" w:rsidR="000D357A" w:rsidRPr="000E696C" w:rsidRDefault="00BA0942" w:rsidP="003F35C4">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t xml:space="preserve">Ley Nº 59, 1999. Establece la obligatoriedad de los funcionarios públicos de declarar sus bienes al inicio y término de su gestión. </w:t>
      </w:r>
      <w:r w:rsidRPr="000E696C">
        <w:rPr>
          <w:rFonts w:ascii="Century Gothic" w:hAnsi="Century Gothic"/>
          <w:color w:val="000000" w:themeColor="text1"/>
          <w:sz w:val="24"/>
          <w:szCs w:val="24"/>
        </w:rPr>
        <w:t>Además, a través de la reforma operada a dicho códice se extendió al funcionariado público que de forma indirecta gestionan intereses y fondos públicos.</w:t>
      </w:r>
      <w:r w:rsidR="00D266A2" w:rsidRPr="000E696C">
        <w:rPr>
          <w:rFonts w:ascii="Century Gothic" w:hAnsi="Century Gothic"/>
          <w:color w:val="000000" w:themeColor="text1"/>
          <w:sz w:val="24"/>
          <w:szCs w:val="24"/>
        </w:rPr>
        <w:t xml:space="preserve"> Esta norma es de gran importancia para una serie de conjuntos de datos asociados con el PIDA.</w:t>
      </w:r>
    </w:p>
    <w:p w14:paraId="6501547D" w14:textId="77777777" w:rsidR="00D266A2" w:rsidRPr="000E696C" w:rsidRDefault="00D266A2" w:rsidP="00D266A2">
      <w:pPr>
        <w:pStyle w:val="Prrafodelista"/>
        <w:rPr>
          <w:rFonts w:ascii="Century Gothic" w:hAnsi="Century Gothic"/>
          <w:b/>
          <w:bCs/>
          <w:color w:val="000000" w:themeColor="text1"/>
          <w:sz w:val="24"/>
          <w:szCs w:val="24"/>
        </w:rPr>
      </w:pPr>
    </w:p>
    <w:p w14:paraId="658CC8D4" w14:textId="6B73748A" w:rsidR="00D266A2" w:rsidRPr="000E696C" w:rsidRDefault="00D266A2" w:rsidP="003F35C4">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t xml:space="preserve">Ley Nº 6, 2002. </w:t>
      </w:r>
      <w:r w:rsidR="0066752A">
        <w:rPr>
          <w:rFonts w:ascii="Century Gothic" w:hAnsi="Century Gothic"/>
          <w:b/>
          <w:bCs/>
          <w:color w:val="000000" w:themeColor="text1"/>
          <w:sz w:val="24"/>
          <w:szCs w:val="24"/>
        </w:rPr>
        <w:t>D</w:t>
      </w:r>
      <w:r w:rsidRPr="000E696C">
        <w:rPr>
          <w:rFonts w:ascii="Century Gothic" w:hAnsi="Century Gothic"/>
          <w:b/>
          <w:bCs/>
          <w:color w:val="000000" w:themeColor="text1"/>
          <w:sz w:val="24"/>
          <w:szCs w:val="24"/>
        </w:rPr>
        <w:t xml:space="preserve">icta normas para la transparencia en la gestión </w:t>
      </w:r>
      <w:proofErr w:type="spellStart"/>
      <w:r w:rsidRPr="000E696C">
        <w:rPr>
          <w:rFonts w:ascii="Century Gothic" w:hAnsi="Century Gothic"/>
          <w:b/>
          <w:bCs/>
          <w:color w:val="000000" w:themeColor="text1"/>
          <w:sz w:val="24"/>
          <w:szCs w:val="24"/>
        </w:rPr>
        <w:t>pública</w:t>
      </w:r>
      <w:proofErr w:type="spellEnd"/>
      <w:r w:rsidRPr="000E696C">
        <w:rPr>
          <w:rFonts w:ascii="Century Gothic" w:hAnsi="Century Gothic"/>
          <w:b/>
          <w:bCs/>
          <w:color w:val="000000" w:themeColor="text1"/>
          <w:sz w:val="24"/>
          <w:szCs w:val="24"/>
        </w:rPr>
        <w:t xml:space="preserve">, establece la acción de </w:t>
      </w:r>
      <w:proofErr w:type="spellStart"/>
      <w:r w:rsidRPr="000E696C">
        <w:rPr>
          <w:rFonts w:ascii="Century Gothic" w:hAnsi="Century Gothic"/>
          <w:b/>
          <w:bCs/>
          <w:color w:val="000000" w:themeColor="text1"/>
          <w:sz w:val="24"/>
          <w:szCs w:val="24"/>
        </w:rPr>
        <w:t>Hábeas</w:t>
      </w:r>
      <w:proofErr w:type="spellEnd"/>
      <w:r w:rsidRPr="000E696C">
        <w:rPr>
          <w:rFonts w:ascii="Century Gothic" w:hAnsi="Century Gothic"/>
          <w:b/>
          <w:bCs/>
          <w:color w:val="000000" w:themeColor="text1"/>
          <w:sz w:val="24"/>
          <w:szCs w:val="24"/>
        </w:rPr>
        <w:t xml:space="preserve"> Data y dicta otras disposiciones. </w:t>
      </w:r>
      <w:r w:rsidRPr="000E696C">
        <w:rPr>
          <w:rFonts w:ascii="Century Gothic" w:hAnsi="Century Gothic"/>
          <w:color w:val="000000" w:themeColor="text1"/>
          <w:sz w:val="24"/>
          <w:szCs w:val="24"/>
        </w:rPr>
        <w:t>Esta es una de las normas principales en materia de transparencia pasiva</w:t>
      </w:r>
      <w:r w:rsidR="006B20C7" w:rsidRPr="000E696C">
        <w:rPr>
          <w:rFonts w:ascii="Century Gothic" w:hAnsi="Century Gothic"/>
          <w:color w:val="000000" w:themeColor="text1"/>
          <w:sz w:val="24"/>
          <w:szCs w:val="24"/>
        </w:rPr>
        <w:t xml:space="preserve"> y reconoce el Hábeas Data, instrumento fundamental para exigir el reconocimiento del derecho fundamental de acceso a la información pública. Otorga carácter de información pública a conjuntos de datos relevantes para efectos del PIDA.</w:t>
      </w:r>
    </w:p>
    <w:p w14:paraId="45A4B597" w14:textId="77777777" w:rsidR="006B20C7" w:rsidRPr="000E696C" w:rsidRDefault="006B20C7" w:rsidP="006B20C7">
      <w:pPr>
        <w:pStyle w:val="Prrafodelista"/>
        <w:rPr>
          <w:rFonts w:ascii="Century Gothic" w:hAnsi="Century Gothic"/>
          <w:b/>
          <w:bCs/>
          <w:color w:val="000000" w:themeColor="text1"/>
          <w:sz w:val="24"/>
          <w:szCs w:val="24"/>
        </w:rPr>
      </w:pPr>
    </w:p>
    <w:p w14:paraId="5D9F5C4C" w14:textId="474AAF91" w:rsidR="006B20C7" w:rsidRPr="000E696C" w:rsidRDefault="00A656A7" w:rsidP="003F35C4">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t xml:space="preserve">Ley Nº 22, 2006. Ley de Contrataciones Públicas. </w:t>
      </w:r>
      <w:r w:rsidRPr="000E696C">
        <w:rPr>
          <w:rFonts w:ascii="Century Gothic" w:hAnsi="Century Gothic"/>
          <w:color w:val="000000" w:themeColor="text1"/>
          <w:sz w:val="24"/>
          <w:szCs w:val="24"/>
        </w:rPr>
        <w:t>Establece el procedimiento</w:t>
      </w:r>
      <w:r w:rsidR="003C148F" w:rsidRPr="000E696C">
        <w:rPr>
          <w:rFonts w:ascii="Century Gothic" w:hAnsi="Century Gothic"/>
          <w:color w:val="000000" w:themeColor="text1"/>
          <w:sz w:val="24"/>
          <w:szCs w:val="24"/>
        </w:rPr>
        <w:t xml:space="preserve"> y</w:t>
      </w:r>
      <w:r w:rsidRPr="000E696C">
        <w:rPr>
          <w:rFonts w:ascii="Century Gothic" w:hAnsi="Century Gothic"/>
          <w:color w:val="000000" w:themeColor="text1"/>
          <w:sz w:val="24"/>
          <w:szCs w:val="24"/>
        </w:rPr>
        <w:t xml:space="preserve"> los conjuntos de datos e información relevantes en el proceso de contrataciones públicas, se recomienda hacer una revisión para identificar si los datos dispuestos en el portal de compras públicas de Panamá </w:t>
      </w:r>
      <w:r w:rsidR="003C148F" w:rsidRPr="000E696C">
        <w:rPr>
          <w:rFonts w:ascii="Century Gothic" w:hAnsi="Century Gothic"/>
          <w:color w:val="000000" w:themeColor="text1"/>
          <w:sz w:val="24"/>
          <w:szCs w:val="24"/>
        </w:rPr>
        <w:t>son</w:t>
      </w:r>
      <w:r w:rsidRPr="000E696C">
        <w:rPr>
          <w:rFonts w:ascii="Century Gothic" w:hAnsi="Century Gothic"/>
          <w:color w:val="000000" w:themeColor="text1"/>
          <w:sz w:val="24"/>
          <w:szCs w:val="24"/>
        </w:rPr>
        <w:t xml:space="preserve"> abierto</w:t>
      </w:r>
      <w:r w:rsidR="003C148F" w:rsidRPr="000E696C">
        <w:rPr>
          <w:rFonts w:ascii="Century Gothic" w:hAnsi="Century Gothic"/>
          <w:color w:val="000000" w:themeColor="text1"/>
          <w:sz w:val="24"/>
          <w:szCs w:val="24"/>
        </w:rPr>
        <w:t>s</w:t>
      </w:r>
      <w:r w:rsidRPr="000E696C">
        <w:rPr>
          <w:rFonts w:ascii="Century Gothic" w:hAnsi="Century Gothic"/>
          <w:color w:val="000000" w:themeColor="text1"/>
          <w:sz w:val="24"/>
          <w:szCs w:val="24"/>
        </w:rPr>
        <w:t xml:space="preserve"> e incorpora</w:t>
      </w:r>
      <w:r w:rsidR="0066752A">
        <w:rPr>
          <w:rFonts w:ascii="Century Gothic" w:hAnsi="Century Gothic"/>
          <w:color w:val="000000" w:themeColor="text1"/>
          <w:sz w:val="24"/>
          <w:szCs w:val="24"/>
        </w:rPr>
        <w:t>n</w:t>
      </w:r>
      <w:r w:rsidRPr="000E696C">
        <w:rPr>
          <w:rFonts w:ascii="Century Gothic" w:hAnsi="Century Gothic"/>
          <w:color w:val="000000" w:themeColor="text1"/>
          <w:sz w:val="24"/>
          <w:szCs w:val="24"/>
        </w:rPr>
        <w:t xml:space="preserve"> los estándares internacionales en materia de datos abiertos de contrataciones públicas.</w:t>
      </w:r>
    </w:p>
    <w:p w14:paraId="625BCD85" w14:textId="77777777" w:rsidR="00A656A7" w:rsidRPr="000E696C" w:rsidRDefault="00A656A7" w:rsidP="00A656A7">
      <w:pPr>
        <w:pStyle w:val="Prrafodelista"/>
        <w:rPr>
          <w:rFonts w:ascii="Century Gothic" w:hAnsi="Century Gothic"/>
          <w:b/>
          <w:bCs/>
          <w:color w:val="000000" w:themeColor="text1"/>
          <w:sz w:val="24"/>
          <w:szCs w:val="24"/>
        </w:rPr>
      </w:pPr>
    </w:p>
    <w:p w14:paraId="280EFF10" w14:textId="1B5651FE" w:rsidR="00A656A7" w:rsidRPr="000E696C" w:rsidRDefault="00A9349E" w:rsidP="003F35C4">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t xml:space="preserve">Ley Nº 14, 2007. Código Penal. </w:t>
      </w:r>
      <w:r w:rsidRPr="000E696C">
        <w:rPr>
          <w:rFonts w:ascii="Century Gothic" w:hAnsi="Century Gothic"/>
          <w:color w:val="000000" w:themeColor="text1"/>
          <w:sz w:val="24"/>
          <w:szCs w:val="24"/>
        </w:rPr>
        <w:t>En esta norma se considera fundamental el capítulo específico de los delitos contra la Administración Pública, dotando de sanciones a quienes cometan actos de corrupción en detrimento de la institucionalidad y gestión pública</w:t>
      </w:r>
      <w:r w:rsidR="00B9718F" w:rsidRPr="000E696C">
        <w:rPr>
          <w:rFonts w:ascii="Century Gothic" w:hAnsi="Century Gothic"/>
          <w:color w:val="000000" w:themeColor="text1"/>
          <w:sz w:val="24"/>
          <w:szCs w:val="24"/>
        </w:rPr>
        <w:t>.</w:t>
      </w:r>
    </w:p>
    <w:p w14:paraId="25D13F68" w14:textId="77777777" w:rsidR="00B9718F" w:rsidRPr="000E696C" w:rsidRDefault="00B9718F" w:rsidP="00B9718F">
      <w:pPr>
        <w:pStyle w:val="Prrafodelista"/>
        <w:rPr>
          <w:rFonts w:ascii="Century Gothic" w:hAnsi="Century Gothic"/>
          <w:b/>
          <w:bCs/>
          <w:color w:val="000000" w:themeColor="text1"/>
          <w:sz w:val="24"/>
          <w:szCs w:val="24"/>
        </w:rPr>
      </w:pPr>
    </w:p>
    <w:p w14:paraId="59943565" w14:textId="173E3B00" w:rsidR="00B9718F" w:rsidRPr="000E696C" w:rsidRDefault="00B9718F" w:rsidP="00B9718F">
      <w:pPr>
        <w:pStyle w:val="Prrafodelista"/>
        <w:jc w:val="both"/>
        <w:rPr>
          <w:rFonts w:ascii="Century Gothic" w:hAnsi="Century Gothic"/>
          <w:color w:val="000000" w:themeColor="text1"/>
          <w:sz w:val="24"/>
          <w:szCs w:val="24"/>
        </w:rPr>
      </w:pPr>
      <w:r w:rsidRPr="000E696C">
        <w:rPr>
          <w:rFonts w:ascii="Century Gothic" w:hAnsi="Century Gothic"/>
          <w:color w:val="000000" w:themeColor="text1"/>
          <w:sz w:val="24"/>
          <w:szCs w:val="24"/>
        </w:rPr>
        <w:lastRenderedPageBreak/>
        <w:t xml:space="preserve">Además, su reforma vía </w:t>
      </w:r>
      <w:r w:rsidRPr="000E696C">
        <w:rPr>
          <w:rFonts w:ascii="Century Gothic" w:hAnsi="Century Gothic"/>
          <w:b/>
          <w:bCs/>
          <w:color w:val="000000" w:themeColor="text1"/>
          <w:sz w:val="24"/>
          <w:szCs w:val="24"/>
        </w:rPr>
        <w:t>Ley Nº 121, 2013</w:t>
      </w:r>
      <w:r w:rsidRPr="000E696C">
        <w:rPr>
          <w:rFonts w:ascii="Century Gothic" w:hAnsi="Century Gothic"/>
          <w:color w:val="000000" w:themeColor="text1"/>
          <w:sz w:val="24"/>
          <w:szCs w:val="24"/>
        </w:rPr>
        <w:t>, adopta medidas contra las actividades relacionadas con el delito de delincuencia organizada.  Tiene por objeto tipificar, investigar, perseguir, sancionar y enjuiciar los hechos relacionados con la delincuencia organizada.</w:t>
      </w:r>
    </w:p>
    <w:p w14:paraId="32661A24" w14:textId="77777777" w:rsidR="00A9349E" w:rsidRPr="000E696C" w:rsidRDefault="00A9349E" w:rsidP="00A9349E">
      <w:pPr>
        <w:pStyle w:val="Prrafodelista"/>
        <w:rPr>
          <w:rFonts w:ascii="Century Gothic" w:hAnsi="Century Gothic"/>
          <w:b/>
          <w:bCs/>
          <w:color w:val="000000" w:themeColor="text1"/>
          <w:sz w:val="24"/>
          <w:szCs w:val="24"/>
        </w:rPr>
      </w:pPr>
    </w:p>
    <w:p w14:paraId="13F17D71" w14:textId="2844A15D" w:rsidR="00A9349E" w:rsidRPr="00453560" w:rsidRDefault="005270BC" w:rsidP="003F35C4">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t xml:space="preserve">Ley Nº 69, 2009. Ley que prohíbe la equiparación en contratos. </w:t>
      </w:r>
      <w:r w:rsidRPr="000E696C">
        <w:rPr>
          <w:rFonts w:ascii="Century Gothic" w:hAnsi="Century Gothic"/>
          <w:color w:val="000000" w:themeColor="text1"/>
          <w:sz w:val="24"/>
          <w:szCs w:val="24"/>
        </w:rPr>
        <w:t>Prohíbe cambios, ajustes, modificaciones o adecuaciones bajo el concepto de equiparación en las tarifas, exenciones, términos y condiciones establecidas en las concesiones, arrendamientos, contratos de inversión en general y cualesquiera otras modalidades jurídico administrativas, mediante adendas y similares, otorgadas por el Estado.</w:t>
      </w:r>
    </w:p>
    <w:p w14:paraId="6BEF480C" w14:textId="77777777" w:rsidR="00453560" w:rsidRPr="00453560" w:rsidRDefault="00453560" w:rsidP="00453560">
      <w:pPr>
        <w:pStyle w:val="Prrafodelista"/>
        <w:jc w:val="both"/>
        <w:rPr>
          <w:rFonts w:ascii="Century Gothic" w:hAnsi="Century Gothic"/>
          <w:b/>
          <w:bCs/>
          <w:color w:val="000000" w:themeColor="text1"/>
          <w:sz w:val="24"/>
          <w:szCs w:val="24"/>
        </w:rPr>
      </w:pPr>
    </w:p>
    <w:p w14:paraId="7A0F2082" w14:textId="25574A4D" w:rsidR="00453560" w:rsidRPr="000E696C" w:rsidRDefault="00453560" w:rsidP="003F35C4">
      <w:pPr>
        <w:pStyle w:val="Prrafodelista"/>
        <w:numPr>
          <w:ilvl w:val="0"/>
          <w:numId w:val="12"/>
        </w:numPr>
        <w:jc w:val="both"/>
        <w:rPr>
          <w:rFonts w:ascii="Century Gothic" w:hAnsi="Century Gothic"/>
          <w:b/>
          <w:bCs/>
          <w:color w:val="000000" w:themeColor="text1"/>
          <w:sz w:val="24"/>
          <w:szCs w:val="24"/>
        </w:rPr>
      </w:pPr>
      <w:r>
        <w:rPr>
          <w:rFonts w:ascii="Century Gothic" w:hAnsi="Century Gothic"/>
          <w:b/>
          <w:bCs/>
          <w:color w:val="000000" w:themeColor="text1"/>
          <w:sz w:val="24"/>
          <w:szCs w:val="24"/>
        </w:rPr>
        <w:t>Ley N° 65, 2009. Ley que crea la Autoridad Nacional para la Innovación Gubernamental</w:t>
      </w:r>
      <w:r w:rsidR="00B05AA2">
        <w:rPr>
          <w:rFonts w:ascii="Century Gothic" w:hAnsi="Century Gothic"/>
          <w:b/>
          <w:bCs/>
          <w:color w:val="000000" w:themeColor="text1"/>
          <w:sz w:val="24"/>
          <w:szCs w:val="24"/>
        </w:rPr>
        <w:t xml:space="preserve"> (AIG)</w:t>
      </w:r>
      <w:r>
        <w:rPr>
          <w:rFonts w:ascii="Century Gothic" w:hAnsi="Century Gothic"/>
          <w:b/>
          <w:bCs/>
          <w:color w:val="000000" w:themeColor="text1"/>
          <w:sz w:val="24"/>
          <w:szCs w:val="24"/>
        </w:rPr>
        <w:t xml:space="preserve">: </w:t>
      </w:r>
      <w:r w:rsidR="003C4E01">
        <w:rPr>
          <w:rFonts w:ascii="Century Gothic" w:hAnsi="Century Gothic"/>
          <w:color w:val="000000" w:themeColor="text1"/>
          <w:sz w:val="24"/>
          <w:szCs w:val="24"/>
        </w:rPr>
        <w:t>Esta norma habilita</w:t>
      </w:r>
      <w:r w:rsidR="00B05AA2">
        <w:rPr>
          <w:rFonts w:ascii="Century Gothic" w:hAnsi="Century Gothic"/>
          <w:color w:val="000000" w:themeColor="text1"/>
          <w:sz w:val="24"/>
          <w:szCs w:val="24"/>
        </w:rPr>
        <w:t xml:space="preserve"> a la AIG</w:t>
      </w:r>
      <w:r w:rsidR="003C4E01">
        <w:rPr>
          <w:rFonts w:ascii="Century Gothic" w:hAnsi="Century Gothic"/>
          <w:color w:val="000000" w:themeColor="text1"/>
          <w:sz w:val="24"/>
          <w:szCs w:val="24"/>
        </w:rPr>
        <w:t xml:space="preserve"> </w:t>
      </w:r>
      <w:r w:rsidR="00B05AA2">
        <w:rPr>
          <w:rFonts w:ascii="Century Gothic" w:hAnsi="Century Gothic"/>
          <w:color w:val="000000" w:themeColor="text1"/>
          <w:sz w:val="24"/>
          <w:szCs w:val="24"/>
        </w:rPr>
        <w:t>como entidad rectora en materia de tecnologías de la información y comunicaciones en el sector gubernamental, convirtiéndola en una de las instancias centrales en la implementación del PIDA, facilitando los procesos necesarios de modernización en la infraestructura tecnológica panameña para contar con los portales de datos abiertos necesarios, como siendo una aliada en la adopción e implementación del Programa.</w:t>
      </w:r>
    </w:p>
    <w:p w14:paraId="006F8096" w14:textId="77777777" w:rsidR="00020E45" w:rsidRPr="000E696C" w:rsidRDefault="00020E45" w:rsidP="00020E45">
      <w:pPr>
        <w:pStyle w:val="Prrafodelista"/>
        <w:rPr>
          <w:rFonts w:ascii="Century Gothic" w:hAnsi="Century Gothic"/>
          <w:b/>
          <w:bCs/>
          <w:color w:val="000000" w:themeColor="text1"/>
          <w:sz w:val="24"/>
          <w:szCs w:val="24"/>
        </w:rPr>
      </w:pPr>
    </w:p>
    <w:p w14:paraId="095E0613" w14:textId="2622EBE9" w:rsidR="00315187" w:rsidRPr="000E696C" w:rsidRDefault="00020E45" w:rsidP="00315187">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t xml:space="preserve">Ley Nº 33, 2013. Crea la Autoridad Nacional de Transparencia y Acceso a la información (ANTAI). </w:t>
      </w:r>
      <w:r w:rsidRPr="000E696C">
        <w:rPr>
          <w:rFonts w:ascii="Century Gothic" w:hAnsi="Century Gothic"/>
          <w:color w:val="000000" w:themeColor="text1"/>
          <w:sz w:val="24"/>
          <w:szCs w:val="24"/>
        </w:rPr>
        <w:t xml:space="preserve">Esta norma es el principal instrumento en términos de gobernanza de los asuntos relacionados con la transparencia y acceso a la información ya que </w:t>
      </w:r>
      <w:r w:rsidR="00315187" w:rsidRPr="000E696C">
        <w:rPr>
          <w:rFonts w:ascii="Century Gothic" w:hAnsi="Century Gothic"/>
          <w:color w:val="000000" w:themeColor="text1"/>
          <w:sz w:val="24"/>
          <w:szCs w:val="24"/>
        </w:rPr>
        <w:t>dota de una serie de potestades a</w:t>
      </w:r>
      <w:r w:rsidR="00AA061F">
        <w:rPr>
          <w:rFonts w:ascii="Century Gothic" w:hAnsi="Century Gothic"/>
          <w:color w:val="000000" w:themeColor="text1"/>
          <w:sz w:val="24"/>
          <w:szCs w:val="24"/>
        </w:rPr>
        <w:t xml:space="preserve"> </w:t>
      </w:r>
      <w:r w:rsidR="00315187" w:rsidRPr="000E696C">
        <w:rPr>
          <w:rFonts w:ascii="Century Gothic" w:hAnsi="Century Gothic"/>
          <w:color w:val="000000" w:themeColor="text1"/>
          <w:sz w:val="24"/>
          <w:szCs w:val="24"/>
        </w:rPr>
        <w:t>l</w:t>
      </w:r>
      <w:r w:rsidR="00AA061F">
        <w:rPr>
          <w:rFonts w:ascii="Century Gothic" w:hAnsi="Century Gothic"/>
          <w:color w:val="000000" w:themeColor="text1"/>
          <w:sz w:val="24"/>
          <w:szCs w:val="24"/>
        </w:rPr>
        <w:t>a</w:t>
      </w:r>
      <w:r w:rsidR="00315187" w:rsidRPr="000E696C">
        <w:rPr>
          <w:rFonts w:ascii="Century Gothic" w:hAnsi="Century Gothic"/>
          <w:color w:val="000000" w:themeColor="text1"/>
          <w:sz w:val="24"/>
          <w:szCs w:val="24"/>
        </w:rPr>
        <w:t xml:space="preserve"> ANTAI que le permite incidir a nivel estatal y local, más allá del Poder Ejecutivo, teniendo la legitimidad legal y política para liderar la implementación del PIDA y la agenda de datos abiertos en general.</w:t>
      </w:r>
    </w:p>
    <w:p w14:paraId="1D14800E" w14:textId="77777777" w:rsidR="00315187" w:rsidRPr="000E696C" w:rsidRDefault="00315187" w:rsidP="00315187">
      <w:pPr>
        <w:pStyle w:val="Prrafodelista"/>
        <w:rPr>
          <w:rFonts w:ascii="Century Gothic" w:hAnsi="Century Gothic"/>
          <w:b/>
          <w:bCs/>
          <w:color w:val="000000" w:themeColor="text1"/>
          <w:sz w:val="24"/>
          <w:szCs w:val="24"/>
        </w:rPr>
      </w:pPr>
    </w:p>
    <w:p w14:paraId="1EED9FB4" w14:textId="7E99AA74" w:rsidR="00315187" w:rsidRPr="000E696C" w:rsidRDefault="003742DE" w:rsidP="00315187">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t xml:space="preserve">Ley Nº 23, 2015. Adopta medidas para prevenir el blanqueo de capitales, el financiamiento del terrorismo y el financiamiento de la proliferación de armas de destrucción masiva y dicta otras disposiciones.  </w:t>
      </w:r>
      <w:r w:rsidRPr="000E696C">
        <w:rPr>
          <w:rFonts w:ascii="Century Gothic" w:hAnsi="Century Gothic"/>
          <w:color w:val="000000" w:themeColor="text1"/>
          <w:sz w:val="24"/>
          <w:szCs w:val="24"/>
        </w:rPr>
        <w:t>Establece las medidas para identificar, evaluar y entender los riegos y consecuencias del blanqueo de capitales, financiamiento de terrorismo y proliferación de armas. Es fundamental para el PIDA ya que termina una serie de elementos que facilitan la reproducción y recolección de datos públicos que contribuyen a la lucha contra la corrupción.</w:t>
      </w:r>
    </w:p>
    <w:p w14:paraId="28FFFCE3" w14:textId="77777777" w:rsidR="00BB7CB5" w:rsidRPr="000E696C" w:rsidRDefault="00BB7CB5" w:rsidP="00BB7CB5">
      <w:pPr>
        <w:pStyle w:val="Prrafodelista"/>
        <w:rPr>
          <w:rFonts w:ascii="Century Gothic" w:hAnsi="Century Gothic"/>
          <w:b/>
          <w:bCs/>
          <w:color w:val="000000" w:themeColor="text1"/>
          <w:sz w:val="24"/>
          <w:szCs w:val="24"/>
        </w:rPr>
      </w:pPr>
    </w:p>
    <w:p w14:paraId="682D32BA" w14:textId="55B9C090" w:rsidR="00BB7CB5" w:rsidRPr="000E696C" w:rsidRDefault="00BB7CB5" w:rsidP="00BB7CB5">
      <w:pPr>
        <w:pStyle w:val="Prrafodelista"/>
        <w:jc w:val="both"/>
        <w:rPr>
          <w:rFonts w:ascii="Century Gothic" w:hAnsi="Century Gothic"/>
          <w:color w:val="000000" w:themeColor="text1"/>
          <w:sz w:val="24"/>
          <w:szCs w:val="24"/>
        </w:rPr>
      </w:pPr>
      <w:r w:rsidRPr="000E696C">
        <w:rPr>
          <w:rFonts w:ascii="Century Gothic" w:hAnsi="Century Gothic"/>
          <w:color w:val="000000" w:themeColor="text1"/>
          <w:sz w:val="24"/>
          <w:szCs w:val="24"/>
        </w:rPr>
        <w:lastRenderedPageBreak/>
        <w:t>Además, la</w:t>
      </w:r>
      <w:r w:rsidRPr="000E696C">
        <w:rPr>
          <w:rFonts w:ascii="Century Gothic" w:hAnsi="Century Gothic"/>
          <w:b/>
          <w:bCs/>
          <w:color w:val="000000" w:themeColor="text1"/>
          <w:sz w:val="24"/>
          <w:szCs w:val="24"/>
        </w:rPr>
        <w:t xml:space="preserve"> Ley Nº 254, 2021, </w:t>
      </w:r>
      <w:r w:rsidRPr="000E696C">
        <w:rPr>
          <w:rFonts w:ascii="Century Gothic" w:hAnsi="Century Gothic"/>
          <w:color w:val="000000" w:themeColor="text1"/>
          <w:sz w:val="24"/>
          <w:szCs w:val="24"/>
        </w:rPr>
        <w:t>introduce adecuaciones a la legislación en materia de transparencia fiscal internacional y prevención de blanqueo de capitales.</w:t>
      </w:r>
    </w:p>
    <w:p w14:paraId="011C9BE8" w14:textId="77777777" w:rsidR="003742DE" w:rsidRPr="000E696C" w:rsidRDefault="003742DE" w:rsidP="003742DE">
      <w:pPr>
        <w:pStyle w:val="Prrafodelista"/>
        <w:rPr>
          <w:rFonts w:ascii="Century Gothic" w:hAnsi="Century Gothic"/>
          <w:b/>
          <w:bCs/>
          <w:color w:val="000000" w:themeColor="text1"/>
          <w:sz w:val="24"/>
          <w:szCs w:val="24"/>
        </w:rPr>
      </w:pPr>
    </w:p>
    <w:p w14:paraId="7AD3E0DE" w14:textId="77777777" w:rsidR="007E14D1" w:rsidRPr="000E696C" w:rsidRDefault="007E14D1" w:rsidP="007E14D1">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t xml:space="preserve">Ley Nº 51, 2016. Marco regulatorio para la implementación del intercambio de información para fines fiscales y dicta otra disposición. </w:t>
      </w:r>
      <w:r w:rsidRPr="000E696C">
        <w:rPr>
          <w:rFonts w:ascii="Century Gothic" w:hAnsi="Century Gothic"/>
          <w:color w:val="000000" w:themeColor="text1"/>
          <w:sz w:val="24"/>
          <w:szCs w:val="24"/>
        </w:rPr>
        <w:t>Responde a convenios internacionales y da carácter de obligatoriedad para el intercambio de determinada información fiscal que puede ser relevante en términos de los conjuntos de datos disponibles que son prioridad para el PIDA.</w:t>
      </w:r>
    </w:p>
    <w:p w14:paraId="2D66A394" w14:textId="77777777" w:rsidR="007E14D1" w:rsidRPr="000E696C" w:rsidRDefault="007E14D1" w:rsidP="007E14D1">
      <w:pPr>
        <w:pStyle w:val="Prrafodelista"/>
        <w:rPr>
          <w:rFonts w:ascii="Century Gothic" w:hAnsi="Century Gothic"/>
          <w:b/>
          <w:bCs/>
          <w:color w:val="000000" w:themeColor="text1"/>
          <w:sz w:val="24"/>
          <w:szCs w:val="24"/>
        </w:rPr>
      </w:pPr>
    </w:p>
    <w:p w14:paraId="54F8C457" w14:textId="48AAA326" w:rsidR="007E14D1" w:rsidRPr="000E696C" w:rsidRDefault="007E14D1" w:rsidP="007E14D1">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t>Ley Nº 52, 2016. Obligación de mantener registros contables para determinadas personas jurídicas</w:t>
      </w:r>
      <w:r w:rsidRPr="000E696C">
        <w:rPr>
          <w:rFonts w:ascii="Century Gothic" w:hAnsi="Century Gothic"/>
          <w:color w:val="000000" w:themeColor="text1"/>
          <w:sz w:val="24"/>
          <w:szCs w:val="24"/>
        </w:rPr>
        <w:t>.  Establece la obligación a las personas jurídicas que no realicen operaciones que perfeccionen, consuman o surtan efectos dentro de la República de Panamá, de mantener registros contables y documentos de respaldo en las oficinas de su agente residente. Es relevante en términos de los conjuntos de datos disponibles que son prioridad para el PIDA.</w:t>
      </w:r>
    </w:p>
    <w:p w14:paraId="598126D5" w14:textId="77777777" w:rsidR="00CC0404" w:rsidRPr="000E696C" w:rsidRDefault="00CC0404" w:rsidP="00CC0404">
      <w:pPr>
        <w:pStyle w:val="Prrafodelista"/>
        <w:rPr>
          <w:rFonts w:ascii="Century Gothic" w:hAnsi="Century Gothic"/>
          <w:b/>
          <w:bCs/>
          <w:color w:val="000000" w:themeColor="text1"/>
          <w:sz w:val="24"/>
          <w:szCs w:val="24"/>
        </w:rPr>
      </w:pPr>
    </w:p>
    <w:p w14:paraId="5541D47A" w14:textId="348315A7" w:rsidR="00CC0404" w:rsidRPr="000E696C" w:rsidRDefault="00CC0404" w:rsidP="007E14D1">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t xml:space="preserve">Ley Nº 129, 2020. Crea el Sistema Privado y Único de Registro de Beneficiarios Finales de Personas Jurídicas. </w:t>
      </w:r>
      <w:r w:rsidRPr="000E696C">
        <w:rPr>
          <w:rFonts w:ascii="Century Gothic" w:hAnsi="Century Gothic"/>
          <w:color w:val="000000" w:themeColor="text1"/>
          <w:sz w:val="24"/>
          <w:szCs w:val="24"/>
        </w:rPr>
        <w:t>Este es uno de los temas de discusión vigentes en el ecosistema de datos abiertos y lucha contra la corrupción por lo que es una norma imprescindible en la recolección de datos para la efectiva implementación del PIDA.</w:t>
      </w:r>
    </w:p>
    <w:p w14:paraId="09033B32" w14:textId="77777777" w:rsidR="007E14D1" w:rsidRPr="000E696C" w:rsidRDefault="007E14D1" w:rsidP="007E14D1">
      <w:pPr>
        <w:pStyle w:val="Prrafodelista"/>
        <w:rPr>
          <w:rFonts w:ascii="Century Gothic" w:hAnsi="Century Gothic"/>
          <w:b/>
          <w:bCs/>
          <w:color w:val="000000" w:themeColor="text1"/>
          <w:sz w:val="24"/>
          <w:szCs w:val="24"/>
        </w:rPr>
      </w:pPr>
    </w:p>
    <w:p w14:paraId="52CFCD49" w14:textId="2FD6BE01" w:rsidR="007E14D1" w:rsidRPr="000E696C" w:rsidRDefault="007E14D1" w:rsidP="007E14D1">
      <w:pPr>
        <w:pStyle w:val="Prrafodelista"/>
        <w:numPr>
          <w:ilvl w:val="0"/>
          <w:numId w:val="12"/>
        </w:numPr>
        <w:jc w:val="both"/>
        <w:rPr>
          <w:rFonts w:ascii="Century Gothic" w:hAnsi="Century Gothic"/>
          <w:b/>
          <w:bCs/>
          <w:color w:val="000000" w:themeColor="text1"/>
          <w:sz w:val="24"/>
          <w:szCs w:val="24"/>
        </w:rPr>
      </w:pPr>
      <w:r w:rsidRPr="000E696C">
        <w:rPr>
          <w:rFonts w:ascii="Century Gothic" w:hAnsi="Century Gothic"/>
          <w:b/>
          <w:bCs/>
          <w:color w:val="000000" w:themeColor="text1"/>
          <w:sz w:val="24"/>
          <w:szCs w:val="24"/>
        </w:rPr>
        <w:t xml:space="preserve">Ley Nº 81, 2019. Sobre protección de datos personales. </w:t>
      </w:r>
      <w:r w:rsidRPr="000E696C">
        <w:rPr>
          <w:rFonts w:ascii="Century Gothic" w:hAnsi="Century Gothic"/>
          <w:color w:val="000000" w:themeColor="text1"/>
          <w:sz w:val="24"/>
          <w:szCs w:val="24"/>
        </w:rPr>
        <w:t xml:space="preserve">Esta norma es fundamental, porque la apertura de datos públicos nunca puede </w:t>
      </w:r>
      <w:r w:rsidR="00CC0404" w:rsidRPr="000E696C">
        <w:rPr>
          <w:rFonts w:ascii="Century Gothic" w:hAnsi="Century Gothic"/>
          <w:color w:val="000000" w:themeColor="text1"/>
          <w:sz w:val="24"/>
          <w:szCs w:val="24"/>
        </w:rPr>
        <w:t>darse en detrimento de información personal que afecte tanto a personas funcionarias públicas como a ciudadanía en general. Siempre debe existir una coordinación constante con la autoridad responsable de resguardar los datos personas y derechos digitales de las personas para que las políticas públicas respondan realmente a sus necesidades, sin vulnerar sus derechos fundamentales.</w:t>
      </w:r>
    </w:p>
    <w:p w14:paraId="38D428E2" w14:textId="77777777" w:rsidR="00CC0404" w:rsidRPr="000E696C" w:rsidRDefault="00CC0404" w:rsidP="00CC0404">
      <w:pPr>
        <w:pStyle w:val="Prrafodelista"/>
        <w:rPr>
          <w:rFonts w:ascii="Century Gothic" w:hAnsi="Century Gothic"/>
          <w:b/>
          <w:bCs/>
          <w:color w:val="000000" w:themeColor="text1"/>
          <w:sz w:val="24"/>
          <w:szCs w:val="24"/>
        </w:rPr>
      </w:pPr>
    </w:p>
    <w:p w14:paraId="1D0CD7E2" w14:textId="0AEF97D9" w:rsidR="0012191B" w:rsidRPr="000E696C" w:rsidRDefault="00A60D27" w:rsidP="00A60D27">
      <w:pPr>
        <w:jc w:val="both"/>
        <w:rPr>
          <w:rFonts w:ascii="Century Gothic" w:hAnsi="Century Gothic"/>
          <w:color w:val="000000" w:themeColor="text1"/>
          <w:sz w:val="24"/>
          <w:szCs w:val="24"/>
        </w:rPr>
      </w:pPr>
      <w:r w:rsidRPr="000E696C">
        <w:rPr>
          <w:rFonts w:ascii="Century Gothic" w:hAnsi="Century Gothic"/>
          <w:color w:val="000000" w:themeColor="text1"/>
          <w:sz w:val="24"/>
          <w:szCs w:val="24"/>
        </w:rPr>
        <w:t>Esta normativa establece condiciones mínimas habilitantes idóneas para la implementación del PIDA; siendo uno de los elementos prioritarios definir un mecanismo de gobernanza efectivo que resguarde el cumplimiento efectivo de toda esta normativa y que facilite los procesos para la apertura de datos públicos</w:t>
      </w:r>
      <w:r w:rsidR="00802514" w:rsidRPr="000E696C">
        <w:rPr>
          <w:rFonts w:ascii="Century Gothic" w:hAnsi="Century Gothic"/>
          <w:color w:val="000000" w:themeColor="text1"/>
          <w:sz w:val="24"/>
          <w:szCs w:val="24"/>
        </w:rPr>
        <w:t xml:space="preserve"> dirigidos a la lucha contra la corrupción.</w:t>
      </w:r>
    </w:p>
    <w:p w14:paraId="160F506D" w14:textId="10C2CD66" w:rsidR="001C3750" w:rsidRPr="000E696C" w:rsidRDefault="00A60D27" w:rsidP="001C3750">
      <w:pPr>
        <w:pStyle w:val="Ttulo2"/>
        <w:jc w:val="both"/>
        <w:rPr>
          <w:rFonts w:ascii="Century Gothic" w:hAnsi="Century Gothic"/>
          <w:color w:val="000000" w:themeColor="text1"/>
        </w:rPr>
      </w:pPr>
      <w:r w:rsidRPr="000E696C">
        <w:rPr>
          <w:rFonts w:ascii="Century Gothic" w:hAnsi="Century Gothic"/>
          <w:color w:val="000000" w:themeColor="text1"/>
        </w:rPr>
        <w:t xml:space="preserve"> </w:t>
      </w:r>
      <w:bookmarkStart w:id="6" w:name="_Toc100251352"/>
      <w:r w:rsidR="001C3750" w:rsidRPr="000E696C">
        <w:rPr>
          <w:rFonts w:ascii="Century Gothic" w:hAnsi="Century Gothic"/>
          <w:color w:val="000000" w:themeColor="text1"/>
        </w:rPr>
        <w:t>Decretos</w:t>
      </w:r>
      <w:bookmarkEnd w:id="6"/>
      <w:r w:rsidR="001C3750" w:rsidRPr="000E696C">
        <w:rPr>
          <w:rFonts w:ascii="Century Gothic" w:hAnsi="Century Gothic"/>
          <w:color w:val="000000" w:themeColor="text1"/>
        </w:rPr>
        <w:t xml:space="preserve"> </w:t>
      </w:r>
    </w:p>
    <w:p w14:paraId="1C4E82CC" w14:textId="77777777" w:rsidR="0012191B" w:rsidRPr="000E696C" w:rsidRDefault="0012191B" w:rsidP="0012191B">
      <w:pPr>
        <w:rPr>
          <w:color w:val="000000" w:themeColor="text1"/>
        </w:rPr>
      </w:pPr>
    </w:p>
    <w:p w14:paraId="03AB7573" w14:textId="622FDBEE" w:rsidR="00B174AC" w:rsidRPr="000E696C" w:rsidRDefault="00B174AC" w:rsidP="000A097B">
      <w:pPr>
        <w:jc w:val="both"/>
        <w:rPr>
          <w:rFonts w:ascii="Century Gothic" w:hAnsi="Century Gothic"/>
          <w:color w:val="000000" w:themeColor="text1"/>
          <w:sz w:val="24"/>
          <w:szCs w:val="24"/>
        </w:rPr>
      </w:pPr>
      <w:r w:rsidRPr="000E696C">
        <w:rPr>
          <w:rFonts w:ascii="Century Gothic" w:hAnsi="Century Gothic"/>
          <w:color w:val="000000" w:themeColor="text1"/>
          <w:sz w:val="24"/>
          <w:szCs w:val="24"/>
        </w:rPr>
        <w:lastRenderedPageBreak/>
        <w:t>Entre los principales decretos que facilitan la producción, recolección, publicación, difusión y uso de datos públicos para combatir la corrupción, son:</w:t>
      </w:r>
    </w:p>
    <w:p w14:paraId="61151EC3" w14:textId="77777777" w:rsidR="000A097B" w:rsidRPr="000E696C" w:rsidRDefault="000A097B" w:rsidP="000A097B">
      <w:pPr>
        <w:jc w:val="both"/>
        <w:rPr>
          <w:rFonts w:ascii="Century Gothic" w:hAnsi="Century Gothic"/>
          <w:color w:val="000000" w:themeColor="text1"/>
          <w:sz w:val="24"/>
          <w:szCs w:val="24"/>
        </w:rPr>
      </w:pPr>
    </w:p>
    <w:p w14:paraId="68A99D73" w14:textId="73E7BE23" w:rsidR="00B174AC" w:rsidRPr="000E696C" w:rsidRDefault="00052BC7" w:rsidP="000A097B">
      <w:pPr>
        <w:pStyle w:val="Prrafodelista"/>
        <w:numPr>
          <w:ilvl w:val="0"/>
          <w:numId w:val="14"/>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Decreto Nº 214-DGA, 1999</w:t>
      </w:r>
      <w:r w:rsidRPr="000E696C">
        <w:rPr>
          <w:rFonts w:ascii="Century Gothic" w:hAnsi="Century Gothic"/>
          <w:color w:val="000000" w:themeColor="text1"/>
          <w:sz w:val="24"/>
          <w:szCs w:val="24"/>
        </w:rPr>
        <w:t>. Se emiten las normas de Control Interno Gubernamental de la República de Panamá.</w:t>
      </w:r>
    </w:p>
    <w:p w14:paraId="1C763C14" w14:textId="77777777" w:rsidR="000A097B" w:rsidRPr="000E696C" w:rsidRDefault="000A097B" w:rsidP="000A097B">
      <w:pPr>
        <w:pStyle w:val="Prrafodelista"/>
        <w:jc w:val="both"/>
        <w:rPr>
          <w:rFonts w:ascii="Century Gothic" w:hAnsi="Century Gothic"/>
          <w:color w:val="000000" w:themeColor="text1"/>
          <w:sz w:val="24"/>
          <w:szCs w:val="24"/>
        </w:rPr>
      </w:pPr>
    </w:p>
    <w:p w14:paraId="6A70A437" w14:textId="7EEB8C60" w:rsidR="00B174AC" w:rsidRPr="000E696C" w:rsidRDefault="00052BC7" w:rsidP="000A097B">
      <w:pPr>
        <w:pStyle w:val="Prrafodelista"/>
        <w:numPr>
          <w:ilvl w:val="0"/>
          <w:numId w:val="14"/>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Decreto Ejecutivo Nº 188, 2009.</w:t>
      </w:r>
      <w:r w:rsidRPr="000E696C">
        <w:rPr>
          <w:rFonts w:ascii="Century Gothic" w:hAnsi="Century Gothic"/>
          <w:color w:val="000000" w:themeColor="text1"/>
          <w:sz w:val="24"/>
          <w:szCs w:val="24"/>
        </w:rPr>
        <w:t xml:space="preserve"> Reglamenta los procedimientos de selección de contratista vía electrónica en el Sistema Electrónico de Contrataciones Públicas "Panamá Compra".</w:t>
      </w:r>
    </w:p>
    <w:p w14:paraId="2D753929" w14:textId="77777777" w:rsidR="000A097B" w:rsidRPr="000E696C" w:rsidRDefault="000A097B" w:rsidP="000A097B">
      <w:pPr>
        <w:jc w:val="both"/>
        <w:rPr>
          <w:rFonts w:ascii="Century Gothic" w:hAnsi="Century Gothic"/>
          <w:color w:val="000000" w:themeColor="text1"/>
          <w:sz w:val="24"/>
          <w:szCs w:val="24"/>
        </w:rPr>
      </w:pPr>
    </w:p>
    <w:p w14:paraId="440757C6" w14:textId="0446E58C" w:rsidR="00B174AC" w:rsidRPr="000E696C" w:rsidRDefault="00052BC7" w:rsidP="000A097B">
      <w:pPr>
        <w:pStyle w:val="Prrafodelista"/>
        <w:numPr>
          <w:ilvl w:val="0"/>
          <w:numId w:val="14"/>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Decreto Ejecutivo Nº 584, 2011.</w:t>
      </w:r>
      <w:r w:rsidRPr="000E696C">
        <w:rPr>
          <w:rFonts w:ascii="Century Gothic" w:hAnsi="Century Gothic"/>
          <w:color w:val="000000" w:themeColor="text1"/>
          <w:sz w:val="24"/>
          <w:szCs w:val="24"/>
        </w:rPr>
        <w:t xml:space="preserve"> Crea el Centro de Atención Ciudadana 3-1-1.</w:t>
      </w:r>
      <w:r w:rsidR="00B174AC" w:rsidRPr="000E696C">
        <w:rPr>
          <w:rFonts w:ascii="Century Gothic" w:hAnsi="Century Gothic"/>
          <w:color w:val="000000" w:themeColor="text1"/>
          <w:sz w:val="24"/>
          <w:szCs w:val="24"/>
        </w:rPr>
        <w:t xml:space="preserve"> </w:t>
      </w:r>
      <w:r w:rsidRPr="000E696C">
        <w:rPr>
          <w:rFonts w:ascii="Century Gothic" w:hAnsi="Century Gothic"/>
          <w:color w:val="000000" w:themeColor="text1"/>
          <w:sz w:val="24"/>
          <w:szCs w:val="24"/>
        </w:rPr>
        <w:t xml:space="preserve">Es el ente competente de recibir de forma centralizada, a través de llamada telefónica o formulario web, las gestiones de queja, denuncias y sugerencias que presente la ciudadanía dirigida a los ministerios, entidades autónomas, </w:t>
      </w:r>
      <w:proofErr w:type="spellStart"/>
      <w:r w:rsidRPr="000E696C">
        <w:rPr>
          <w:rFonts w:ascii="Century Gothic" w:hAnsi="Century Gothic"/>
          <w:color w:val="000000" w:themeColor="text1"/>
          <w:sz w:val="24"/>
          <w:szCs w:val="24"/>
        </w:rPr>
        <w:t>semi</w:t>
      </w:r>
      <w:proofErr w:type="spellEnd"/>
      <w:r w:rsidR="00AC3E3F" w:rsidRPr="000E696C">
        <w:rPr>
          <w:rFonts w:ascii="Century Gothic" w:hAnsi="Century Gothic"/>
          <w:color w:val="000000" w:themeColor="text1"/>
          <w:sz w:val="24"/>
          <w:szCs w:val="24"/>
        </w:rPr>
        <w:t>-</w:t>
      </w:r>
      <w:r w:rsidRPr="000E696C">
        <w:rPr>
          <w:rFonts w:ascii="Century Gothic" w:hAnsi="Century Gothic"/>
          <w:color w:val="000000" w:themeColor="text1"/>
          <w:sz w:val="24"/>
          <w:szCs w:val="24"/>
        </w:rPr>
        <w:t>autónomas y demás sujetos de derecho público.</w:t>
      </w:r>
    </w:p>
    <w:p w14:paraId="2EE0D5AC" w14:textId="77777777" w:rsidR="000A097B" w:rsidRPr="000E696C" w:rsidRDefault="000A097B" w:rsidP="000A097B">
      <w:pPr>
        <w:jc w:val="both"/>
        <w:rPr>
          <w:rFonts w:ascii="Century Gothic" w:hAnsi="Century Gothic"/>
          <w:color w:val="000000" w:themeColor="text1"/>
          <w:sz w:val="24"/>
          <w:szCs w:val="24"/>
        </w:rPr>
      </w:pPr>
    </w:p>
    <w:p w14:paraId="39062B1D" w14:textId="2F793EBC" w:rsidR="00B174AC" w:rsidRPr="000E696C" w:rsidRDefault="00052BC7" w:rsidP="000A097B">
      <w:pPr>
        <w:pStyle w:val="Prrafodelista"/>
        <w:numPr>
          <w:ilvl w:val="0"/>
          <w:numId w:val="14"/>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Decreto Ejecutivo Nº 246, 2004.</w:t>
      </w:r>
      <w:r w:rsidRPr="000E696C">
        <w:rPr>
          <w:rFonts w:ascii="Century Gothic" w:hAnsi="Century Gothic"/>
          <w:color w:val="000000" w:themeColor="text1"/>
          <w:sz w:val="24"/>
          <w:szCs w:val="24"/>
        </w:rPr>
        <w:t xml:space="preserve"> Se dicta el Código Uniforme de Ética de los Servidores Públicos que laboran en las entidades del Gobierno Central.</w:t>
      </w:r>
      <w:r w:rsidR="00B174AC" w:rsidRPr="000E696C">
        <w:rPr>
          <w:rFonts w:ascii="Century Gothic" w:hAnsi="Century Gothic"/>
          <w:color w:val="000000" w:themeColor="text1"/>
          <w:sz w:val="24"/>
          <w:szCs w:val="24"/>
        </w:rPr>
        <w:t xml:space="preserve"> </w:t>
      </w:r>
      <w:r w:rsidRPr="000E696C">
        <w:rPr>
          <w:rFonts w:ascii="Century Gothic" w:hAnsi="Century Gothic"/>
          <w:color w:val="000000" w:themeColor="text1"/>
          <w:sz w:val="24"/>
          <w:szCs w:val="24"/>
        </w:rPr>
        <w:t>Establece una serie de principios rectores, de acatamiento obligatorio para los funcionarios públicos, conforme al cual deben adecuar su labor, comportamiento y servicio.</w:t>
      </w:r>
    </w:p>
    <w:p w14:paraId="59686F96" w14:textId="77777777" w:rsidR="000A097B" w:rsidRPr="000E696C" w:rsidRDefault="000A097B" w:rsidP="000A097B">
      <w:pPr>
        <w:jc w:val="both"/>
        <w:rPr>
          <w:rFonts w:ascii="Century Gothic" w:hAnsi="Century Gothic"/>
          <w:color w:val="000000" w:themeColor="text1"/>
          <w:sz w:val="24"/>
          <w:szCs w:val="24"/>
        </w:rPr>
      </w:pPr>
    </w:p>
    <w:p w14:paraId="728D58C4" w14:textId="0EDF0E06" w:rsidR="00B174AC" w:rsidRPr="000E696C" w:rsidRDefault="00052BC7" w:rsidP="000A097B">
      <w:pPr>
        <w:pStyle w:val="Prrafodelista"/>
        <w:numPr>
          <w:ilvl w:val="0"/>
          <w:numId w:val="14"/>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Decreto Ejecutivo Nº 511, 2017.</w:t>
      </w:r>
      <w:r w:rsidRPr="000E696C">
        <w:rPr>
          <w:rFonts w:ascii="Century Gothic" w:hAnsi="Century Gothic"/>
          <w:color w:val="000000" w:themeColor="text1"/>
          <w:sz w:val="24"/>
          <w:szCs w:val="24"/>
        </w:rPr>
        <w:t xml:space="preserve"> Adopta la Política Púb</w:t>
      </w:r>
      <w:r w:rsidR="00AA061F">
        <w:rPr>
          <w:rFonts w:ascii="Century Gothic" w:hAnsi="Century Gothic"/>
          <w:color w:val="000000" w:themeColor="text1"/>
          <w:sz w:val="24"/>
          <w:szCs w:val="24"/>
        </w:rPr>
        <w:t>l</w:t>
      </w:r>
      <w:r w:rsidRPr="000E696C">
        <w:rPr>
          <w:rFonts w:ascii="Century Gothic" w:hAnsi="Century Gothic"/>
          <w:color w:val="000000" w:themeColor="text1"/>
          <w:sz w:val="24"/>
          <w:szCs w:val="24"/>
        </w:rPr>
        <w:t>ica de Transparencia de Datos Abiertos de Gobierno</w:t>
      </w:r>
      <w:r w:rsidR="00B174AC" w:rsidRPr="000E696C">
        <w:rPr>
          <w:rFonts w:ascii="Century Gothic" w:hAnsi="Century Gothic"/>
          <w:color w:val="000000" w:themeColor="text1"/>
          <w:sz w:val="24"/>
          <w:szCs w:val="24"/>
        </w:rPr>
        <w:t>, que se convierte en el principal instrumento operativo a nivel legal en términos de gobernanza, producción, recolección, publicación</w:t>
      </w:r>
      <w:r w:rsidR="00AA061F">
        <w:rPr>
          <w:rFonts w:ascii="Century Gothic" w:hAnsi="Century Gothic"/>
          <w:color w:val="000000" w:themeColor="text1"/>
          <w:sz w:val="24"/>
          <w:szCs w:val="24"/>
        </w:rPr>
        <w:t>,</w:t>
      </w:r>
      <w:r w:rsidR="00B174AC" w:rsidRPr="000E696C">
        <w:rPr>
          <w:rFonts w:ascii="Century Gothic" w:hAnsi="Century Gothic"/>
          <w:color w:val="000000" w:themeColor="text1"/>
          <w:sz w:val="24"/>
          <w:szCs w:val="24"/>
        </w:rPr>
        <w:t xml:space="preserve"> difusión y uso de datos e información pública en formato abierto.</w:t>
      </w:r>
    </w:p>
    <w:p w14:paraId="3D5FC737" w14:textId="77777777" w:rsidR="000A097B" w:rsidRPr="000E696C" w:rsidRDefault="000A097B" w:rsidP="000A097B">
      <w:pPr>
        <w:pStyle w:val="Prrafodelista"/>
        <w:jc w:val="both"/>
        <w:rPr>
          <w:rFonts w:ascii="Century Gothic" w:hAnsi="Century Gothic"/>
          <w:color w:val="000000" w:themeColor="text1"/>
          <w:sz w:val="24"/>
          <w:szCs w:val="24"/>
        </w:rPr>
      </w:pPr>
    </w:p>
    <w:p w14:paraId="4A3754EB" w14:textId="52A82CDF" w:rsidR="00052BC7" w:rsidRPr="000E696C" w:rsidRDefault="00052BC7" w:rsidP="000A097B">
      <w:pPr>
        <w:pStyle w:val="Prrafodelista"/>
        <w:numPr>
          <w:ilvl w:val="0"/>
          <w:numId w:val="14"/>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Decreto Ejecutivo Nº 285, 2021</w:t>
      </w:r>
      <w:r w:rsidRPr="000E696C">
        <w:rPr>
          <w:rFonts w:ascii="Century Gothic" w:hAnsi="Century Gothic"/>
          <w:color w:val="000000" w:themeColor="text1"/>
          <w:sz w:val="24"/>
          <w:szCs w:val="24"/>
        </w:rPr>
        <w:t>. Reglamenta la Ley 81, 2019 sobre Protección de Datos Personales.</w:t>
      </w:r>
    </w:p>
    <w:p w14:paraId="3E663E8F" w14:textId="77777777" w:rsidR="003B39CB" w:rsidRPr="000E696C" w:rsidRDefault="003B39CB" w:rsidP="000A097B">
      <w:pPr>
        <w:jc w:val="both"/>
        <w:rPr>
          <w:rFonts w:ascii="Century Gothic" w:hAnsi="Century Gothic"/>
          <w:color w:val="000000" w:themeColor="text1"/>
          <w:sz w:val="24"/>
          <w:szCs w:val="24"/>
        </w:rPr>
      </w:pPr>
    </w:p>
    <w:p w14:paraId="547B58F3" w14:textId="5ABC3012" w:rsidR="0012191B" w:rsidRPr="000E696C" w:rsidRDefault="003B39CB" w:rsidP="0012191B">
      <w:pPr>
        <w:jc w:val="both"/>
        <w:rPr>
          <w:rFonts w:ascii="Century Gothic" w:hAnsi="Century Gothic"/>
          <w:color w:val="000000" w:themeColor="text1"/>
          <w:sz w:val="24"/>
          <w:szCs w:val="24"/>
        </w:rPr>
      </w:pPr>
      <w:r w:rsidRPr="000E696C">
        <w:rPr>
          <w:rFonts w:ascii="Century Gothic" w:hAnsi="Century Gothic"/>
          <w:color w:val="000000" w:themeColor="text1"/>
          <w:sz w:val="24"/>
          <w:szCs w:val="24"/>
        </w:rPr>
        <w:t>Estas normas son de absoluta relevancia porque dan carácter operativo a las leyes asociadas al PIDA</w:t>
      </w:r>
      <w:r w:rsidR="000A097B" w:rsidRPr="000E696C">
        <w:rPr>
          <w:rFonts w:ascii="Century Gothic" w:hAnsi="Century Gothic"/>
          <w:color w:val="000000" w:themeColor="text1"/>
          <w:sz w:val="24"/>
          <w:szCs w:val="24"/>
        </w:rPr>
        <w:t>, facilitan la posibilidad de ordenar los conjuntos de datos más relevantes y define con mayor claridad los roles y competencias de las instituciones asociadas.</w:t>
      </w:r>
    </w:p>
    <w:p w14:paraId="0B3AF4A2" w14:textId="6FC7A4B2" w:rsidR="00DA5E82" w:rsidRDefault="00DA5E82" w:rsidP="001C3750">
      <w:pPr>
        <w:pStyle w:val="Ttulo2"/>
        <w:jc w:val="both"/>
        <w:rPr>
          <w:rFonts w:ascii="Century Gothic" w:hAnsi="Century Gothic"/>
          <w:color w:val="000000" w:themeColor="text1"/>
        </w:rPr>
      </w:pPr>
    </w:p>
    <w:p w14:paraId="59062332" w14:textId="77777777" w:rsidR="00DA5E82" w:rsidRPr="00DA5E82" w:rsidRDefault="00DA5E82" w:rsidP="00DA5E82"/>
    <w:p w14:paraId="7ECB866A" w14:textId="58929A6C" w:rsidR="001C3750" w:rsidRPr="000E696C" w:rsidRDefault="001C3750" w:rsidP="001C3750">
      <w:pPr>
        <w:pStyle w:val="Ttulo2"/>
        <w:jc w:val="both"/>
        <w:rPr>
          <w:rFonts w:ascii="Century Gothic" w:hAnsi="Century Gothic"/>
          <w:color w:val="000000" w:themeColor="text1"/>
        </w:rPr>
      </w:pPr>
      <w:bookmarkStart w:id="7" w:name="_Toc100251353"/>
      <w:r w:rsidRPr="000E696C">
        <w:rPr>
          <w:rFonts w:ascii="Century Gothic" w:hAnsi="Century Gothic"/>
          <w:color w:val="000000" w:themeColor="text1"/>
        </w:rPr>
        <w:lastRenderedPageBreak/>
        <w:t>Otras norma</w:t>
      </w:r>
      <w:r w:rsidR="00C06230" w:rsidRPr="000E696C">
        <w:rPr>
          <w:rFonts w:ascii="Century Gothic" w:hAnsi="Century Gothic"/>
          <w:color w:val="000000" w:themeColor="text1"/>
        </w:rPr>
        <w:t>s</w:t>
      </w:r>
      <w:bookmarkEnd w:id="7"/>
    </w:p>
    <w:p w14:paraId="7E828003" w14:textId="2F2CF18C" w:rsidR="0012774F" w:rsidRPr="000E696C" w:rsidRDefault="0012774F" w:rsidP="0012774F">
      <w:pPr>
        <w:rPr>
          <w:rFonts w:ascii="Century Gothic" w:hAnsi="Century Gothic"/>
          <w:color w:val="000000" w:themeColor="text1"/>
          <w:sz w:val="24"/>
          <w:szCs w:val="24"/>
        </w:rPr>
      </w:pPr>
    </w:p>
    <w:p w14:paraId="51490967" w14:textId="2F1DE796" w:rsidR="0012774F" w:rsidRPr="000E696C" w:rsidRDefault="0012774F" w:rsidP="0012774F">
      <w:pPr>
        <w:jc w:val="both"/>
        <w:rPr>
          <w:rFonts w:ascii="Century Gothic" w:hAnsi="Century Gothic"/>
          <w:color w:val="000000" w:themeColor="text1"/>
          <w:sz w:val="24"/>
          <w:szCs w:val="24"/>
        </w:rPr>
      </w:pPr>
      <w:r w:rsidRPr="000E696C">
        <w:rPr>
          <w:rFonts w:ascii="Century Gothic" w:hAnsi="Century Gothic"/>
          <w:color w:val="000000" w:themeColor="text1"/>
          <w:sz w:val="24"/>
          <w:szCs w:val="24"/>
        </w:rPr>
        <w:tab/>
        <w:t>Destacan además una serie de resoluciones que deben ser consideradas para efectos de una adecuada implementación del PIDA en Panamá</w:t>
      </w:r>
      <w:r w:rsidR="00F06FC2" w:rsidRPr="000E696C">
        <w:rPr>
          <w:rFonts w:ascii="Century Gothic" w:hAnsi="Century Gothic"/>
          <w:color w:val="000000" w:themeColor="text1"/>
          <w:sz w:val="24"/>
          <w:szCs w:val="24"/>
        </w:rPr>
        <w:t>, especialmente porque están dirigidas a crear órganos con competencias directas en materia de transparencia, anticorrupción y datos abiertos</w:t>
      </w:r>
      <w:r w:rsidRPr="000E696C">
        <w:rPr>
          <w:rFonts w:ascii="Century Gothic" w:hAnsi="Century Gothic"/>
          <w:color w:val="000000" w:themeColor="text1"/>
          <w:sz w:val="24"/>
          <w:szCs w:val="24"/>
        </w:rPr>
        <w:t>. Dichas resoluciones se describen a continuación:</w:t>
      </w:r>
    </w:p>
    <w:p w14:paraId="3C6CAA25" w14:textId="2FC82ED9" w:rsidR="0012774F" w:rsidRPr="000E696C" w:rsidRDefault="0012774F" w:rsidP="0012774F">
      <w:pPr>
        <w:jc w:val="both"/>
        <w:rPr>
          <w:rFonts w:ascii="Century Gothic" w:hAnsi="Century Gothic"/>
          <w:color w:val="000000" w:themeColor="text1"/>
          <w:sz w:val="24"/>
          <w:szCs w:val="24"/>
        </w:rPr>
      </w:pPr>
    </w:p>
    <w:p w14:paraId="16C35806" w14:textId="0CC905F5" w:rsidR="0012191B" w:rsidRPr="000E696C" w:rsidRDefault="00C84079" w:rsidP="0012191B">
      <w:pPr>
        <w:pStyle w:val="Prrafodelista"/>
        <w:numPr>
          <w:ilvl w:val="0"/>
          <w:numId w:val="15"/>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Resolución Nº ANTAI-GAP-003-2019,</w:t>
      </w:r>
      <w:r w:rsidRPr="000E696C">
        <w:rPr>
          <w:rFonts w:ascii="Century Gothic" w:hAnsi="Century Gothic"/>
          <w:color w:val="000000" w:themeColor="text1"/>
          <w:sz w:val="24"/>
          <w:szCs w:val="24"/>
        </w:rPr>
        <w:t xml:space="preserve"> del 15 de mayo de 2019. Se establece la conformación de la Comisión Nacional de Gobierno Abierto Panamá para el periodo 2019-2021.</w:t>
      </w:r>
      <w:r w:rsidR="0012191B" w:rsidRPr="000E696C">
        <w:rPr>
          <w:rFonts w:ascii="Century Gothic" w:hAnsi="Century Gothic"/>
          <w:color w:val="000000" w:themeColor="text1"/>
          <w:sz w:val="24"/>
          <w:szCs w:val="24"/>
        </w:rPr>
        <w:br/>
      </w:r>
    </w:p>
    <w:p w14:paraId="75D9753E" w14:textId="77777777" w:rsidR="003937F0" w:rsidRPr="000E696C" w:rsidRDefault="00C84079" w:rsidP="003937F0">
      <w:pPr>
        <w:pStyle w:val="Prrafodelista"/>
        <w:numPr>
          <w:ilvl w:val="0"/>
          <w:numId w:val="15"/>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Resolución Nº ANTAI-PPTDAG-004-2019</w:t>
      </w:r>
      <w:r w:rsidRPr="000E696C">
        <w:rPr>
          <w:rFonts w:ascii="Century Gothic" w:hAnsi="Century Gothic"/>
          <w:color w:val="000000" w:themeColor="text1"/>
          <w:sz w:val="24"/>
          <w:szCs w:val="24"/>
        </w:rPr>
        <w:t>, del 16 de mayo de 2019. Se conforma el Grupo de Trabajo de Datos Abiertos Panamá para el periodo 2019-2021</w:t>
      </w:r>
      <w:r w:rsidR="003937F0" w:rsidRPr="000E696C">
        <w:rPr>
          <w:rFonts w:ascii="Century Gothic" w:hAnsi="Century Gothic"/>
          <w:color w:val="000000" w:themeColor="text1"/>
          <w:sz w:val="24"/>
          <w:szCs w:val="24"/>
        </w:rPr>
        <w:t>.</w:t>
      </w:r>
    </w:p>
    <w:p w14:paraId="1EC202AC" w14:textId="26A1DB83" w:rsidR="0012191B" w:rsidRPr="000E696C" w:rsidRDefault="0012191B" w:rsidP="003937F0">
      <w:pPr>
        <w:jc w:val="both"/>
        <w:rPr>
          <w:rFonts w:ascii="Century Gothic" w:hAnsi="Century Gothic"/>
          <w:color w:val="000000" w:themeColor="text1"/>
          <w:sz w:val="24"/>
          <w:szCs w:val="24"/>
        </w:rPr>
      </w:pPr>
    </w:p>
    <w:p w14:paraId="72570140" w14:textId="77777777" w:rsidR="003937F0" w:rsidRPr="000E696C" w:rsidRDefault="00C84079" w:rsidP="003937F0">
      <w:pPr>
        <w:pStyle w:val="Prrafodelista"/>
        <w:numPr>
          <w:ilvl w:val="0"/>
          <w:numId w:val="15"/>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Resolución Nº DGCP-ANTAI-001-2019,</w:t>
      </w:r>
      <w:r w:rsidRPr="000E696C">
        <w:rPr>
          <w:rFonts w:ascii="Century Gothic" w:hAnsi="Century Gothic"/>
          <w:color w:val="000000" w:themeColor="text1"/>
          <w:sz w:val="24"/>
          <w:szCs w:val="24"/>
        </w:rPr>
        <w:t xml:space="preserve"> del 20 de mayo de 2019. Se aprueban los Estándares para la publicación de la información de los proyectos de infraestructura pública</w:t>
      </w:r>
      <w:r w:rsidR="003937F0" w:rsidRPr="000E696C">
        <w:rPr>
          <w:rFonts w:ascii="Century Gothic" w:hAnsi="Century Gothic"/>
          <w:color w:val="000000" w:themeColor="text1"/>
          <w:sz w:val="24"/>
          <w:szCs w:val="24"/>
        </w:rPr>
        <w:t xml:space="preserve"> en el marco de la iniciativa </w:t>
      </w:r>
      <w:proofErr w:type="spellStart"/>
      <w:r w:rsidRPr="000E696C">
        <w:rPr>
          <w:rFonts w:ascii="Century Gothic" w:hAnsi="Century Gothic"/>
          <w:color w:val="000000" w:themeColor="text1"/>
          <w:sz w:val="24"/>
          <w:szCs w:val="24"/>
        </w:rPr>
        <w:t>Cost</w:t>
      </w:r>
      <w:proofErr w:type="spellEnd"/>
      <w:r w:rsidRPr="000E696C">
        <w:rPr>
          <w:rFonts w:ascii="Century Gothic" w:hAnsi="Century Gothic"/>
          <w:color w:val="000000" w:themeColor="text1"/>
          <w:sz w:val="24"/>
          <w:szCs w:val="24"/>
        </w:rPr>
        <w:t xml:space="preserve"> Panam</w:t>
      </w:r>
      <w:r w:rsidR="003937F0" w:rsidRPr="000E696C">
        <w:rPr>
          <w:rFonts w:ascii="Century Gothic" w:hAnsi="Century Gothic"/>
          <w:color w:val="000000" w:themeColor="text1"/>
          <w:sz w:val="24"/>
          <w:szCs w:val="24"/>
        </w:rPr>
        <w:t>á.</w:t>
      </w:r>
    </w:p>
    <w:p w14:paraId="3E4ED912" w14:textId="2C2597FD" w:rsidR="0012191B" w:rsidRPr="000E696C" w:rsidRDefault="0012191B" w:rsidP="003937F0">
      <w:pPr>
        <w:jc w:val="both"/>
        <w:rPr>
          <w:rFonts w:ascii="Century Gothic" w:hAnsi="Century Gothic"/>
          <w:color w:val="000000" w:themeColor="text1"/>
          <w:sz w:val="24"/>
          <w:szCs w:val="24"/>
        </w:rPr>
      </w:pPr>
    </w:p>
    <w:p w14:paraId="32824860" w14:textId="4B1F5C52" w:rsidR="0012191B" w:rsidRPr="000E696C" w:rsidRDefault="00C84079" w:rsidP="00C84079">
      <w:pPr>
        <w:pStyle w:val="Prrafodelista"/>
        <w:numPr>
          <w:ilvl w:val="0"/>
          <w:numId w:val="15"/>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Resolución Nº 04-2021</w:t>
      </w:r>
      <w:r w:rsidRPr="000E696C">
        <w:rPr>
          <w:rFonts w:ascii="Century Gothic" w:hAnsi="Century Gothic"/>
          <w:color w:val="000000" w:themeColor="text1"/>
          <w:sz w:val="24"/>
          <w:szCs w:val="24"/>
        </w:rPr>
        <w:t>, del 16 de agosto de 2021. Se adopta la Academia Virtual de Ética y Transparencia para todo el servicio público.</w:t>
      </w:r>
      <w:r w:rsidR="0012191B" w:rsidRPr="000E696C">
        <w:rPr>
          <w:rFonts w:ascii="Century Gothic" w:hAnsi="Century Gothic"/>
          <w:color w:val="000000" w:themeColor="text1"/>
          <w:sz w:val="24"/>
          <w:szCs w:val="24"/>
        </w:rPr>
        <w:t xml:space="preserve"> </w:t>
      </w:r>
      <w:r w:rsidRPr="000E696C">
        <w:rPr>
          <w:rFonts w:ascii="Century Gothic" w:hAnsi="Century Gothic"/>
          <w:color w:val="000000" w:themeColor="text1"/>
          <w:sz w:val="24"/>
          <w:szCs w:val="24"/>
        </w:rPr>
        <w:t>Instruye a todos los servidores públicos del Estado a cursar y aprobar el curso de la Academia Virtual de Ética y Transparencia</w:t>
      </w:r>
    </w:p>
    <w:p w14:paraId="0D25A0A4" w14:textId="77777777" w:rsidR="0012191B" w:rsidRPr="000E696C" w:rsidRDefault="0012191B" w:rsidP="0012191B">
      <w:pPr>
        <w:pStyle w:val="Prrafodelista"/>
        <w:ind w:left="1080"/>
        <w:jc w:val="both"/>
        <w:rPr>
          <w:rFonts w:ascii="Century Gothic" w:hAnsi="Century Gothic"/>
          <w:color w:val="000000" w:themeColor="text1"/>
          <w:sz w:val="24"/>
          <w:szCs w:val="24"/>
        </w:rPr>
      </w:pPr>
    </w:p>
    <w:p w14:paraId="0495B393" w14:textId="0F9F7155" w:rsidR="0012191B" w:rsidRPr="000E696C" w:rsidRDefault="00C84079" w:rsidP="00C84079">
      <w:pPr>
        <w:pStyle w:val="Prrafodelista"/>
        <w:numPr>
          <w:ilvl w:val="0"/>
          <w:numId w:val="15"/>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Resolución Nº ANTAI-DS-006-2021</w:t>
      </w:r>
      <w:r w:rsidRPr="000E696C">
        <w:rPr>
          <w:rFonts w:ascii="Century Gothic" w:hAnsi="Century Gothic"/>
          <w:color w:val="000000" w:themeColor="text1"/>
          <w:sz w:val="24"/>
          <w:szCs w:val="24"/>
        </w:rPr>
        <w:t xml:space="preserve"> del 21 de agosto de 2021. Crea una Comisión Interinstitucional de Seguimiento de Políticas Públicas Anticorrupción.</w:t>
      </w:r>
    </w:p>
    <w:p w14:paraId="7E16C04D" w14:textId="77777777" w:rsidR="0012191B" w:rsidRPr="006241F2" w:rsidRDefault="0012191B" w:rsidP="006241F2">
      <w:pPr>
        <w:rPr>
          <w:rFonts w:ascii="Century Gothic" w:hAnsi="Century Gothic"/>
          <w:color w:val="000000" w:themeColor="text1"/>
          <w:sz w:val="24"/>
          <w:szCs w:val="24"/>
        </w:rPr>
      </w:pPr>
    </w:p>
    <w:p w14:paraId="7369C702" w14:textId="38B4A11D" w:rsidR="00C84079" w:rsidRPr="000E696C" w:rsidRDefault="00C84079" w:rsidP="00C84079">
      <w:pPr>
        <w:pStyle w:val="Prrafodelista"/>
        <w:numPr>
          <w:ilvl w:val="0"/>
          <w:numId w:val="15"/>
        </w:numPr>
        <w:jc w:val="both"/>
        <w:rPr>
          <w:rFonts w:ascii="Century Gothic" w:hAnsi="Century Gothic"/>
          <w:color w:val="000000" w:themeColor="text1"/>
          <w:sz w:val="24"/>
          <w:szCs w:val="24"/>
        </w:rPr>
      </w:pPr>
      <w:r w:rsidRPr="000E696C">
        <w:rPr>
          <w:rFonts w:ascii="Century Gothic" w:hAnsi="Century Gothic"/>
          <w:b/>
          <w:bCs/>
          <w:color w:val="000000" w:themeColor="text1"/>
          <w:sz w:val="24"/>
          <w:szCs w:val="24"/>
        </w:rPr>
        <w:t>Resolución Nº 002-2021</w:t>
      </w:r>
      <w:r w:rsidRPr="000E696C">
        <w:rPr>
          <w:rFonts w:ascii="Century Gothic" w:hAnsi="Century Gothic"/>
          <w:color w:val="000000" w:themeColor="text1"/>
          <w:sz w:val="24"/>
          <w:szCs w:val="24"/>
        </w:rPr>
        <w:t xml:space="preserve"> del 07 de enero de 2021. Se implementa el uso de documentos estandarizados en los procesos de contratación pública.</w:t>
      </w:r>
    </w:p>
    <w:p w14:paraId="44D9BC62" w14:textId="11307894" w:rsidR="00C16012" w:rsidRPr="000E696C" w:rsidRDefault="00C16012" w:rsidP="001C3750">
      <w:pPr>
        <w:ind w:firstLine="720"/>
        <w:jc w:val="both"/>
        <w:rPr>
          <w:rFonts w:ascii="Century Gothic" w:hAnsi="Century Gothic"/>
          <w:color w:val="000000" w:themeColor="text1"/>
          <w:sz w:val="24"/>
          <w:szCs w:val="24"/>
        </w:rPr>
      </w:pPr>
    </w:p>
    <w:p w14:paraId="71517B90" w14:textId="019E030A" w:rsidR="00B47F02" w:rsidRPr="000E696C" w:rsidRDefault="00B47F02" w:rsidP="00B47F02">
      <w:pPr>
        <w:pStyle w:val="xmsonormal"/>
        <w:shd w:val="clear" w:color="auto" w:fill="FFFFFF"/>
        <w:spacing w:before="0" w:beforeAutospacing="0" w:after="0" w:afterAutospacing="0" w:line="276" w:lineRule="auto"/>
        <w:ind w:firstLine="720"/>
        <w:jc w:val="both"/>
        <w:rPr>
          <w:rFonts w:ascii="Century Gothic" w:hAnsi="Century Gothic"/>
          <w:color w:val="000000" w:themeColor="text1"/>
          <w:bdr w:val="none" w:sz="0" w:space="0" w:color="auto" w:frame="1"/>
        </w:rPr>
      </w:pPr>
      <w:r w:rsidRPr="000E696C">
        <w:rPr>
          <w:rFonts w:ascii="Century Gothic" w:hAnsi="Century Gothic"/>
          <w:color w:val="000000" w:themeColor="text1"/>
        </w:rPr>
        <w:t xml:space="preserve">La Autoridad Nacional de Transparencia y Acceso a la Información identificó además, una serie de normas que se encuentran en discusión y que son relevantes para efectos del Programa Interamericano de Datos Abiertos para Combatir la Corrupción, las cuales </w:t>
      </w:r>
      <w:r w:rsidR="00C8071E" w:rsidRPr="000E696C">
        <w:rPr>
          <w:rFonts w:ascii="Century Gothic" w:hAnsi="Century Gothic"/>
          <w:color w:val="000000" w:themeColor="text1"/>
        </w:rPr>
        <w:t>están relacionadas con:</w:t>
      </w:r>
      <w:r w:rsidRPr="000E696C">
        <w:rPr>
          <w:rFonts w:ascii="Century Gothic" w:hAnsi="Century Gothic"/>
          <w:color w:val="000000" w:themeColor="text1"/>
          <w:bdr w:val="none" w:sz="0" w:space="0" w:color="auto" w:frame="1"/>
        </w:rPr>
        <w:t xml:space="preserve"> conflicto de intereses, </w:t>
      </w:r>
      <w:r w:rsidR="00C8071E" w:rsidRPr="000E696C">
        <w:rPr>
          <w:rFonts w:ascii="Century Gothic" w:hAnsi="Century Gothic"/>
          <w:color w:val="000000" w:themeColor="text1"/>
          <w:bdr w:val="none" w:sz="0" w:space="0" w:color="auto" w:frame="1"/>
        </w:rPr>
        <w:t>e</w:t>
      </w:r>
      <w:r w:rsidRPr="000E696C">
        <w:rPr>
          <w:rFonts w:ascii="Century Gothic" w:hAnsi="Century Gothic"/>
          <w:color w:val="000000" w:themeColor="text1"/>
          <w:bdr w:val="none" w:sz="0" w:space="0" w:color="auto" w:frame="1"/>
        </w:rPr>
        <w:t xml:space="preserve">xtinción de dominio, reforma </w:t>
      </w:r>
      <w:r w:rsidR="00C8071E" w:rsidRPr="000E696C">
        <w:rPr>
          <w:rFonts w:ascii="Century Gothic" w:hAnsi="Century Gothic"/>
          <w:color w:val="000000" w:themeColor="text1"/>
          <w:bdr w:val="none" w:sz="0" w:space="0" w:color="auto" w:frame="1"/>
        </w:rPr>
        <w:t>a la ley de</w:t>
      </w:r>
      <w:r w:rsidRPr="000E696C">
        <w:rPr>
          <w:rFonts w:ascii="Century Gothic" w:hAnsi="Century Gothic"/>
          <w:color w:val="000000" w:themeColor="text1"/>
          <w:bdr w:val="none" w:sz="0" w:space="0" w:color="auto" w:frame="1"/>
        </w:rPr>
        <w:t xml:space="preserve"> contrataciones públicas, </w:t>
      </w:r>
      <w:r w:rsidR="00C8071E" w:rsidRPr="000E696C">
        <w:rPr>
          <w:rFonts w:ascii="Century Gothic" w:hAnsi="Century Gothic"/>
          <w:color w:val="000000" w:themeColor="text1"/>
          <w:bdr w:val="none" w:sz="0" w:space="0" w:color="auto" w:frame="1"/>
        </w:rPr>
        <w:t>L</w:t>
      </w:r>
      <w:r w:rsidRPr="000E696C">
        <w:rPr>
          <w:rFonts w:ascii="Century Gothic" w:hAnsi="Century Gothic"/>
          <w:color w:val="000000" w:themeColor="text1"/>
          <w:bdr w:val="none" w:sz="0" w:space="0" w:color="auto" w:frame="1"/>
        </w:rPr>
        <w:t xml:space="preserve">ey de imprescriptibilidad, la ley 225 que modifica la </w:t>
      </w:r>
      <w:r w:rsidR="00C8071E" w:rsidRPr="000E696C">
        <w:rPr>
          <w:rFonts w:ascii="Century Gothic" w:hAnsi="Century Gothic"/>
          <w:color w:val="000000" w:themeColor="text1"/>
          <w:bdr w:val="none" w:sz="0" w:space="0" w:color="auto" w:frame="1"/>
        </w:rPr>
        <w:t>L</w:t>
      </w:r>
      <w:r w:rsidRPr="000E696C">
        <w:rPr>
          <w:rFonts w:ascii="Century Gothic" w:hAnsi="Century Gothic"/>
          <w:color w:val="000000" w:themeColor="text1"/>
          <w:bdr w:val="none" w:sz="0" w:space="0" w:color="auto" w:frame="1"/>
        </w:rPr>
        <w:t xml:space="preserve">ey 6 de 2022 dicta otras disposiciones, la </w:t>
      </w:r>
      <w:r w:rsidR="00C8071E" w:rsidRPr="000E696C">
        <w:rPr>
          <w:rFonts w:ascii="Century Gothic" w:hAnsi="Century Gothic"/>
          <w:color w:val="000000" w:themeColor="text1"/>
          <w:bdr w:val="none" w:sz="0" w:space="0" w:color="auto" w:frame="1"/>
        </w:rPr>
        <w:t>L</w:t>
      </w:r>
      <w:r w:rsidRPr="000E696C">
        <w:rPr>
          <w:rFonts w:ascii="Century Gothic" w:hAnsi="Century Gothic"/>
          <w:color w:val="000000" w:themeColor="text1"/>
          <w:bdr w:val="none" w:sz="0" w:space="0" w:color="auto" w:frame="1"/>
        </w:rPr>
        <w:t xml:space="preserve">ey 247 que modifica la </w:t>
      </w:r>
      <w:r w:rsidR="00C8071E" w:rsidRPr="000E696C">
        <w:rPr>
          <w:rFonts w:ascii="Century Gothic" w:hAnsi="Century Gothic"/>
          <w:color w:val="000000" w:themeColor="text1"/>
          <w:bdr w:val="none" w:sz="0" w:space="0" w:color="auto" w:frame="1"/>
        </w:rPr>
        <w:t>L</w:t>
      </w:r>
      <w:r w:rsidRPr="000E696C">
        <w:rPr>
          <w:rFonts w:ascii="Century Gothic" w:hAnsi="Century Gothic"/>
          <w:color w:val="000000" w:themeColor="text1"/>
          <w:bdr w:val="none" w:sz="0" w:space="0" w:color="auto" w:frame="1"/>
        </w:rPr>
        <w:t xml:space="preserve">ey 6 del 2002, la </w:t>
      </w:r>
      <w:r w:rsidR="00C8071E" w:rsidRPr="000E696C">
        <w:rPr>
          <w:rFonts w:ascii="Century Gothic" w:hAnsi="Century Gothic"/>
          <w:color w:val="000000" w:themeColor="text1"/>
          <w:bdr w:val="none" w:sz="0" w:space="0" w:color="auto" w:frame="1"/>
        </w:rPr>
        <w:t>L</w:t>
      </w:r>
      <w:r w:rsidRPr="000E696C">
        <w:rPr>
          <w:rFonts w:ascii="Century Gothic" w:hAnsi="Century Gothic"/>
          <w:color w:val="000000" w:themeColor="text1"/>
          <w:bdr w:val="none" w:sz="0" w:space="0" w:color="auto" w:frame="1"/>
        </w:rPr>
        <w:t xml:space="preserve">ey 555 que crea la </w:t>
      </w:r>
      <w:r w:rsidRPr="000E696C">
        <w:rPr>
          <w:rFonts w:ascii="Century Gothic" w:hAnsi="Century Gothic"/>
          <w:color w:val="000000" w:themeColor="text1"/>
          <w:bdr w:val="none" w:sz="0" w:space="0" w:color="auto" w:frame="1"/>
        </w:rPr>
        <w:lastRenderedPageBreak/>
        <w:t xml:space="preserve">unidad policial especializada en delitos informáticos en la </w:t>
      </w:r>
      <w:r w:rsidR="00C8071E" w:rsidRPr="000E696C">
        <w:rPr>
          <w:rFonts w:ascii="Century Gothic" w:hAnsi="Century Gothic"/>
          <w:color w:val="000000" w:themeColor="text1"/>
          <w:bdr w:val="none" w:sz="0" w:space="0" w:color="auto" w:frame="1"/>
        </w:rPr>
        <w:t>R</w:t>
      </w:r>
      <w:r w:rsidRPr="000E696C">
        <w:rPr>
          <w:rFonts w:ascii="Century Gothic" w:hAnsi="Century Gothic"/>
          <w:color w:val="000000" w:themeColor="text1"/>
          <w:bdr w:val="none" w:sz="0" w:space="0" w:color="auto" w:frame="1"/>
        </w:rPr>
        <w:t xml:space="preserve">epública de Panamá y modifica el </w:t>
      </w:r>
      <w:r w:rsidR="00C8071E" w:rsidRPr="000E696C">
        <w:rPr>
          <w:rFonts w:ascii="Century Gothic" w:hAnsi="Century Gothic"/>
          <w:color w:val="000000" w:themeColor="text1"/>
          <w:bdr w:val="none" w:sz="0" w:space="0" w:color="auto" w:frame="1"/>
        </w:rPr>
        <w:t>C</w:t>
      </w:r>
      <w:r w:rsidRPr="000E696C">
        <w:rPr>
          <w:rFonts w:ascii="Century Gothic" w:hAnsi="Century Gothic"/>
          <w:color w:val="000000" w:themeColor="text1"/>
          <w:bdr w:val="none" w:sz="0" w:space="0" w:color="auto" w:frame="1"/>
        </w:rPr>
        <w:t xml:space="preserve">ódigo </w:t>
      </w:r>
      <w:r w:rsidR="00C8071E" w:rsidRPr="000E696C">
        <w:rPr>
          <w:rFonts w:ascii="Century Gothic" w:hAnsi="Century Gothic"/>
          <w:color w:val="000000" w:themeColor="text1"/>
          <w:bdr w:val="none" w:sz="0" w:space="0" w:color="auto" w:frame="1"/>
        </w:rPr>
        <w:t>P</w:t>
      </w:r>
      <w:r w:rsidRPr="000E696C">
        <w:rPr>
          <w:rFonts w:ascii="Century Gothic" w:hAnsi="Century Gothic"/>
          <w:color w:val="000000" w:themeColor="text1"/>
          <w:bdr w:val="none" w:sz="0" w:space="0" w:color="auto" w:frame="1"/>
        </w:rPr>
        <w:t>enal.</w:t>
      </w:r>
    </w:p>
    <w:p w14:paraId="7E03CC8A" w14:textId="77777777" w:rsidR="00B47F02" w:rsidRPr="000E696C" w:rsidRDefault="00B47F02" w:rsidP="00A5553F">
      <w:pPr>
        <w:ind w:firstLine="720"/>
        <w:jc w:val="both"/>
        <w:rPr>
          <w:rFonts w:ascii="Century Gothic" w:hAnsi="Century Gothic"/>
          <w:color w:val="000000" w:themeColor="text1"/>
          <w:sz w:val="24"/>
          <w:szCs w:val="24"/>
        </w:rPr>
      </w:pPr>
    </w:p>
    <w:p w14:paraId="0B8E7559" w14:textId="5DFE40AB" w:rsidR="00C16012" w:rsidRPr="000E696C" w:rsidRDefault="00A5553F" w:rsidP="00A5553F">
      <w:pPr>
        <w:ind w:firstLine="720"/>
        <w:jc w:val="both"/>
        <w:rPr>
          <w:rFonts w:ascii="Century Gothic" w:hAnsi="Century Gothic"/>
          <w:color w:val="000000" w:themeColor="text1"/>
          <w:sz w:val="24"/>
          <w:szCs w:val="24"/>
        </w:rPr>
      </w:pPr>
      <w:r w:rsidRPr="000E696C">
        <w:rPr>
          <w:rFonts w:ascii="Century Gothic" w:hAnsi="Century Gothic"/>
          <w:color w:val="000000" w:themeColor="text1"/>
          <w:sz w:val="24"/>
          <w:szCs w:val="24"/>
        </w:rPr>
        <w:t>En términos generales, Panamá cuenta con las condiciones mínimas habilitantes a nivel normativo para avanzar hacia una implementación del PIDA de manera sostenible e interinstitucional, que pueda garantizar el éxito de la publicación permanente, actualizada y oportuna de</w:t>
      </w:r>
      <w:r w:rsidR="00B47F02" w:rsidRPr="000E696C">
        <w:rPr>
          <w:rFonts w:ascii="Century Gothic" w:hAnsi="Century Gothic"/>
          <w:color w:val="000000" w:themeColor="text1"/>
          <w:sz w:val="24"/>
          <w:szCs w:val="24"/>
        </w:rPr>
        <w:t xml:space="preserve"> los principales conjuntos de datos que permitan, no sólo a las instituciones, sino también a la sociedad civil trabajar de manera conjunta en combatir la corrupción.</w:t>
      </w:r>
    </w:p>
    <w:p w14:paraId="0761DCD0" w14:textId="645B7685" w:rsidR="00AF76F0" w:rsidRPr="000E696C" w:rsidRDefault="00AF76F0" w:rsidP="00D55217">
      <w:pPr>
        <w:pStyle w:val="Ttulo1"/>
        <w:jc w:val="both"/>
        <w:rPr>
          <w:rFonts w:ascii="Century Gothic" w:hAnsi="Century Gothic"/>
          <w:color w:val="000000" w:themeColor="text1"/>
        </w:rPr>
      </w:pPr>
      <w:bookmarkStart w:id="8" w:name="_Toc100251354"/>
      <w:r w:rsidRPr="000E696C">
        <w:rPr>
          <w:rFonts w:ascii="Century Gothic" w:hAnsi="Century Gothic"/>
          <w:color w:val="000000" w:themeColor="text1"/>
        </w:rPr>
        <w:t>Mapeo de Actores</w:t>
      </w:r>
      <w:bookmarkEnd w:id="8"/>
    </w:p>
    <w:p w14:paraId="23DEAB67" w14:textId="689F30D1" w:rsidR="00AF76F0" w:rsidRPr="000E696C" w:rsidRDefault="00AF76F0" w:rsidP="00D55217">
      <w:pPr>
        <w:jc w:val="both"/>
        <w:rPr>
          <w:rFonts w:ascii="Century Gothic" w:hAnsi="Century Gothic"/>
          <w:color w:val="000000" w:themeColor="text1"/>
          <w:sz w:val="24"/>
          <w:szCs w:val="24"/>
        </w:rPr>
      </w:pPr>
    </w:p>
    <w:p w14:paraId="3E20A295" w14:textId="798517A4" w:rsidR="007A42B3" w:rsidRPr="000E696C" w:rsidRDefault="007A42B3" w:rsidP="00D55217">
      <w:pPr>
        <w:jc w:val="both"/>
        <w:rPr>
          <w:rFonts w:ascii="Century Gothic" w:hAnsi="Century Gothic"/>
          <w:color w:val="000000" w:themeColor="text1"/>
          <w:sz w:val="24"/>
          <w:szCs w:val="24"/>
        </w:rPr>
      </w:pPr>
      <w:r w:rsidRPr="000E696C">
        <w:rPr>
          <w:rFonts w:ascii="Century Gothic" w:hAnsi="Century Gothic"/>
          <w:color w:val="000000" w:themeColor="text1"/>
          <w:sz w:val="24"/>
          <w:szCs w:val="24"/>
        </w:rPr>
        <w:tab/>
        <w:t>A continuación</w:t>
      </w:r>
      <w:r w:rsidR="000D357A" w:rsidRPr="000E696C">
        <w:rPr>
          <w:rFonts w:ascii="Century Gothic" w:hAnsi="Century Gothic"/>
          <w:color w:val="000000" w:themeColor="text1"/>
          <w:sz w:val="24"/>
          <w:szCs w:val="24"/>
        </w:rPr>
        <w:t>,</w:t>
      </w:r>
      <w:r w:rsidRPr="000E696C">
        <w:rPr>
          <w:rFonts w:ascii="Century Gothic" w:hAnsi="Century Gothic"/>
          <w:color w:val="000000" w:themeColor="text1"/>
          <w:sz w:val="24"/>
          <w:szCs w:val="24"/>
        </w:rPr>
        <w:t xml:space="preserve"> se facilita un mapeo de diversos actores tanto institucionales como no institucionales que se consideran relevantes para la definición de un modelo de gobernanza </w:t>
      </w:r>
      <w:proofErr w:type="spellStart"/>
      <w:r w:rsidRPr="000E696C">
        <w:rPr>
          <w:rFonts w:ascii="Century Gothic" w:hAnsi="Century Gothic"/>
          <w:color w:val="000000" w:themeColor="text1"/>
          <w:sz w:val="24"/>
          <w:szCs w:val="24"/>
        </w:rPr>
        <w:t>multi</w:t>
      </w:r>
      <w:proofErr w:type="spellEnd"/>
      <w:r w:rsidRPr="000E696C">
        <w:rPr>
          <w:rFonts w:ascii="Century Gothic" w:hAnsi="Century Gothic"/>
          <w:color w:val="000000" w:themeColor="text1"/>
          <w:sz w:val="24"/>
          <w:szCs w:val="24"/>
        </w:rPr>
        <w:t xml:space="preserve">-actor, así como para la </w:t>
      </w:r>
      <w:proofErr w:type="spellStart"/>
      <w:r w:rsidRPr="000E696C">
        <w:rPr>
          <w:rFonts w:ascii="Century Gothic" w:hAnsi="Century Gothic"/>
          <w:color w:val="000000" w:themeColor="text1"/>
          <w:sz w:val="24"/>
          <w:szCs w:val="24"/>
        </w:rPr>
        <w:t>co</w:t>
      </w:r>
      <w:proofErr w:type="spellEnd"/>
      <w:r w:rsidRPr="000E696C">
        <w:rPr>
          <w:rFonts w:ascii="Century Gothic" w:hAnsi="Century Gothic"/>
          <w:color w:val="000000" w:themeColor="text1"/>
          <w:sz w:val="24"/>
          <w:szCs w:val="24"/>
        </w:rPr>
        <w:t>-creación de políticas públicas que faciliten la producción, recolección, publicación, difusión y uso de los datos abiertos relevantes para efectos del PIDA.</w:t>
      </w:r>
    </w:p>
    <w:p w14:paraId="69953350" w14:textId="77777777" w:rsidR="00A26CEB" w:rsidRPr="000E696C" w:rsidRDefault="00A26CEB" w:rsidP="00D55217">
      <w:pPr>
        <w:pStyle w:val="Ttulo2"/>
        <w:jc w:val="both"/>
        <w:rPr>
          <w:rFonts w:ascii="Century Gothic" w:hAnsi="Century Gothic"/>
          <w:color w:val="000000" w:themeColor="text1"/>
        </w:rPr>
      </w:pPr>
      <w:bookmarkStart w:id="9" w:name="_Toc100251355"/>
      <w:r w:rsidRPr="000E696C">
        <w:rPr>
          <w:rFonts w:ascii="Century Gothic" w:hAnsi="Century Gothic"/>
          <w:color w:val="000000" w:themeColor="text1"/>
        </w:rPr>
        <w:t>Actores a nivel internacional y regional</w:t>
      </w:r>
      <w:bookmarkEnd w:id="9"/>
    </w:p>
    <w:p w14:paraId="42262907" w14:textId="113609F9" w:rsidR="00A26CEB" w:rsidRPr="000E696C" w:rsidRDefault="00A26CEB" w:rsidP="00A26CEB">
      <w:pPr>
        <w:rPr>
          <w:rFonts w:ascii="Century Gothic" w:hAnsi="Century Gothic"/>
          <w:color w:val="000000" w:themeColor="text1"/>
          <w:sz w:val="24"/>
          <w:szCs w:val="24"/>
        </w:rPr>
      </w:pPr>
    </w:p>
    <w:p w14:paraId="61293EE4" w14:textId="3167D658" w:rsidR="00A26CEB" w:rsidRPr="000E696C" w:rsidRDefault="00A26CEB" w:rsidP="00FC0EC5">
      <w:pPr>
        <w:ind w:firstLine="720"/>
        <w:jc w:val="both"/>
        <w:rPr>
          <w:rFonts w:ascii="Century Gothic" w:hAnsi="Century Gothic"/>
          <w:color w:val="000000" w:themeColor="text1"/>
          <w:sz w:val="24"/>
          <w:szCs w:val="24"/>
        </w:rPr>
      </w:pPr>
      <w:r w:rsidRPr="000E696C">
        <w:rPr>
          <w:rFonts w:ascii="Century Gothic" w:hAnsi="Century Gothic"/>
          <w:color w:val="000000" w:themeColor="text1"/>
          <w:sz w:val="24"/>
          <w:szCs w:val="24"/>
        </w:rPr>
        <w:t>Es fundamental identificar los actores con responsabilidades o capacidad de apoyo técnico a nivel regional e internacional</w:t>
      </w:r>
      <w:r w:rsidR="00FC0EC5" w:rsidRPr="000E696C">
        <w:rPr>
          <w:rFonts w:ascii="Century Gothic" w:hAnsi="Century Gothic"/>
          <w:color w:val="000000" w:themeColor="text1"/>
          <w:sz w:val="24"/>
          <w:szCs w:val="24"/>
        </w:rPr>
        <w:t xml:space="preserve"> que pueden acompañar el proceso de implementación de PIDA en Panamá</w:t>
      </w:r>
      <w:r w:rsidR="008B0434" w:rsidRPr="000E696C">
        <w:rPr>
          <w:rFonts w:ascii="Century Gothic" w:hAnsi="Century Gothic"/>
          <w:color w:val="000000" w:themeColor="text1"/>
          <w:sz w:val="24"/>
          <w:szCs w:val="24"/>
        </w:rPr>
        <w:t>.</w:t>
      </w:r>
    </w:p>
    <w:p w14:paraId="7796C448" w14:textId="6DF507F2" w:rsidR="008B0434" w:rsidRPr="000E696C" w:rsidRDefault="008B0434" w:rsidP="00FC0EC5">
      <w:pPr>
        <w:ind w:firstLine="720"/>
        <w:jc w:val="both"/>
        <w:rPr>
          <w:rFonts w:ascii="Century Gothic" w:hAnsi="Century Gothic"/>
          <w:color w:val="000000" w:themeColor="text1"/>
          <w:sz w:val="24"/>
          <w:szCs w:val="24"/>
        </w:rPr>
      </w:pPr>
    </w:p>
    <w:p w14:paraId="1A818177" w14:textId="0912BC32" w:rsidR="001C6300" w:rsidRPr="009B7721" w:rsidRDefault="001C6300" w:rsidP="001C6300">
      <w:pPr>
        <w:ind w:firstLine="720"/>
        <w:jc w:val="both"/>
        <w:rPr>
          <w:rFonts w:ascii="Century Gothic" w:hAnsi="Century Gothic"/>
          <w:iCs/>
          <w:color w:val="000000" w:themeColor="text1"/>
          <w:sz w:val="24"/>
          <w:szCs w:val="24"/>
        </w:rPr>
      </w:pPr>
      <w:r w:rsidRPr="009B7721">
        <w:rPr>
          <w:rFonts w:ascii="Century Gothic" w:hAnsi="Century Gothic"/>
          <w:b/>
          <w:bCs/>
          <w:iCs/>
          <w:color w:val="000000" w:themeColor="text1"/>
          <w:sz w:val="24"/>
          <w:szCs w:val="24"/>
        </w:rPr>
        <w:t>Organización de los Estados Americanos (OEA):</w:t>
      </w:r>
      <w:r w:rsidR="009B7721">
        <w:rPr>
          <w:rFonts w:ascii="Century Gothic" w:hAnsi="Century Gothic"/>
          <w:b/>
          <w:bCs/>
          <w:iCs/>
          <w:color w:val="000000" w:themeColor="text1"/>
          <w:sz w:val="24"/>
          <w:szCs w:val="24"/>
        </w:rPr>
        <w:t xml:space="preserve"> </w:t>
      </w:r>
      <w:r w:rsidR="009B7721">
        <w:rPr>
          <w:rFonts w:ascii="Century Gothic" w:hAnsi="Century Gothic"/>
          <w:iCs/>
          <w:color w:val="000000" w:themeColor="text1"/>
          <w:sz w:val="24"/>
          <w:szCs w:val="24"/>
        </w:rPr>
        <w:t>La OEA ha sido el organismo internacional multilateral que ha liderado la ideación, construcción y promoción del PIDA en Las Américas, logrando una articulación con gobiernos y organizaciones de sociedad civil</w:t>
      </w:r>
      <w:r w:rsidR="00771920">
        <w:rPr>
          <w:rFonts w:ascii="Century Gothic" w:hAnsi="Century Gothic"/>
          <w:iCs/>
          <w:color w:val="000000" w:themeColor="text1"/>
          <w:sz w:val="24"/>
          <w:szCs w:val="24"/>
        </w:rPr>
        <w:t xml:space="preserve"> a lo largo de la región. Recientemente diseño la “Guía de Implementación del PIDA”</w:t>
      </w:r>
      <w:r w:rsidR="00771920">
        <w:rPr>
          <w:rStyle w:val="Refdenotaalpie"/>
          <w:rFonts w:ascii="Century Gothic" w:hAnsi="Century Gothic"/>
          <w:iCs/>
          <w:color w:val="000000" w:themeColor="text1"/>
          <w:sz w:val="24"/>
          <w:szCs w:val="24"/>
        </w:rPr>
        <w:footnoteReference w:id="15"/>
      </w:r>
      <w:r w:rsidR="00771920">
        <w:rPr>
          <w:rFonts w:ascii="Century Gothic" w:hAnsi="Century Gothic"/>
          <w:iCs/>
          <w:color w:val="000000" w:themeColor="text1"/>
          <w:sz w:val="24"/>
          <w:szCs w:val="24"/>
        </w:rPr>
        <w:t xml:space="preserve"> facilitando recursos y herramientas para el proceso de apertura de datos para combatir la corrupción.</w:t>
      </w:r>
    </w:p>
    <w:p w14:paraId="2CAD50A3" w14:textId="77777777" w:rsidR="001C6300" w:rsidRDefault="001C6300" w:rsidP="001C6300">
      <w:pPr>
        <w:ind w:firstLine="720"/>
        <w:jc w:val="both"/>
        <w:rPr>
          <w:rFonts w:ascii="Century Gothic" w:hAnsi="Century Gothic"/>
          <w:b/>
          <w:bCs/>
          <w:iCs/>
          <w:color w:val="000000" w:themeColor="text1"/>
          <w:sz w:val="24"/>
          <w:szCs w:val="24"/>
        </w:rPr>
      </w:pPr>
    </w:p>
    <w:p w14:paraId="621681D9" w14:textId="77777777" w:rsidR="002B7F76" w:rsidRDefault="001C6300" w:rsidP="001C6300">
      <w:pPr>
        <w:ind w:firstLine="720"/>
        <w:jc w:val="both"/>
        <w:rPr>
          <w:rFonts w:ascii="Century Gothic" w:hAnsi="Century Gothic"/>
          <w:iCs/>
          <w:color w:val="000000" w:themeColor="text1"/>
          <w:sz w:val="24"/>
          <w:szCs w:val="24"/>
        </w:rPr>
      </w:pPr>
      <w:r>
        <w:rPr>
          <w:rFonts w:ascii="Century Gothic" w:hAnsi="Century Gothic"/>
          <w:b/>
          <w:bCs/>
          <w:iCs/>
          <w:color w:val="000000" w:themeColor="text1"/>
          <w:sz w:val="24"/>
          <w:szCs w:val="24"/>
        </w:rPr>
        <w:t>Mecanismo de Seguimiento de la Implementación de la Convención Interamericana contra la corrupción (MESICIC):</w:t>
      </w:r>
      <w:r w:rsidR="00322206">
        <w:rPr>
          <w:rFonts w:ascii="Century Gothic" w:hAnsi="Century Gothic"/>
          <w:b/>
          <w:bCs/>
          <w:iCs/>
          <w:color w:val="000000" w:themeColor="text1"/>
          <w:sz w:val="24"/>
          <w:szCs w:val="24"/>
        </w:rPr>
        <w:t xml:space="preserve"> </w:t>
      </w:r>
      <w:r w:rsidR="007E68D0" w:rsidRPr="007E68D0">
        <w:rPr>
          <w:rFonts w:ascii="Century Gothic" w:hAnsi="Century Gothic"/>
          <w:iCs/>
          <w:color w:val="000000" w:themeColor="text1"/>
          <w:sz w:val="24"/>
          <w:szCs w:val="24"/>
        </w:rPr>
        <w:t>Desde el 2002</w:t>
      </w:r>
      <w:r w:rsidR="007E68D0">
        <w:rPr>
          <w:rFonts w:ascii="Century Gothic" w:hAnsi="Century Gothic"/>
          <w:iCs/>
          <w:color w:val="000000" w:themeColor="text1"/>
          <w:sz w:val="24"/>
          <w:szCs w:val="24"/>
        </w:rPr>
        <w:t>, el Mecanismo ha generado una serie de recomendaciones que permiten avanzar en la implementación de las disposiciones de la Convención Interamericana contra la corrupción, así como el monitoreo del avance y cumplimiento de dichas recomendaciones.</w:t>
      </w:r>
      <w:r w:rsidR="007E68D0">
        <w:rPr>
          <w:rFonts w:ascii="Century Gothic" w:hAnsi="Century Gothic"/>
          <w:b/>
          <w:bCs/>
          <w:iCs/>
          <w:color w:val="000000" w:themeColor="text1"/>
          <w:sz w:val="24"/>
          <w:szCs w:val="24"/>
        </w:rPr>
        <w:t xml:space="preserve"> </w:t>
      </w:r>
      <w:r w:rsidR="00322206">
        <w:rPr>
          <w:rFonts w:ascii="Century Gothic" w:hAnsi="Century Gothic"/>
          <w:iCs/>
          <w:color w:val="000000" w:themeColor="text1"/>
          <w:sz w:val="24"/>
          <w:szCs w:val="24"/>
        </w:rPr>
        <w:t>El Estado de Panamá es parte de los 33 miembros que</w:t>
      </w:r>
      <w:r w:rsidR="007E68D0">
        <w:rPr>
          <w:rFonts w:ascii="Century Gothic" w:hAnsi="Century Gothic"/>
          <w:iCs/>
          <w:color w:val="000000" w:themeColor="text1"/>
          <w:sz w:val="24"/>
          <w:szCs w:val="24"/>
        </w:rPr>
        <w:t xml:space="preserve"> lo </w:t>
      </w:r>
      <w:r w:rsidR="007E68D0">
        <w:rPr>
          <w:rFonts w:ascii="Century Gothic" w:hAnsi="Century Gothic"/>
          <w:iCs/>
          <w:color w:val="000000" w:themeColor="text1"/>
          <w:sz w:val="24"/>
          <w:szCs w:val="24"/>
        </w:rPr>
        <w:lastRenderedPageBreak/>
        <w:t>integran. Actualmente</w:t>
      </w:r>
      <w:r w:rsidR="009B7721">
        <w:rPr>
          <w:rFonts w:ascii="Century Gothic" w:hAnsi="Century Gothic"/>
          <w:iCs/>
          <w:color w:val="000000" w:themeColor="text1"/>
          <w:sz w:val="24"/>
          <w:szCs w:val="24"/>
        </w:rPr>
        <w:t>,</w:t>
      </w:r>
      <w:r w:rsidR="007E68D0">
        <w:rPr>
          <w:rFonts w:ascii="Century Gothic" w:hAnsi="Century Gothic"/>
          <w:iCs/>
          <w:color w:val="000000" w:themeColor="text1"/>
          <w:sz w:val="24"/>
          <w:szCs w:val="24"/>
        </w:rPr>
        <w:t xml:space="preserve"> la Directora General de la Autoridad Nacional de Transparencia y Acceso a la Información (ANTAI), Elsa Fernández, asume como </w:t>
      </w:r>
      <w:proofErr w:type="gramStart"/>
      <w:r w:rsidR="007E68D0">
        <w:rPr>
          <w:rFonts w:ascii="Century Gothic" w:hAnsi="Century Gothic"/>
          <w:iCs/>
          <w:color w:val="000000" w:themeColor="text1"/>
          <w:sz w:val="24"/>
          <w:szCs w:val="24"/>
        </w:rPr>
        <w:t>Presidenta</w:t>
      </w:r>
      <w:proofErr w:type="gramEnd"/>
      <w:r w:rsidR="007E68D0">
        <w:rPr>
          <w:rFonts w:ascii="Century Gothic" w:hAnsi="Century Gothic"/>
          <w:iCs/>
          <w:color w:val="000000" w:themeColor="text1"/>
          <w:sz w:val="24"/>
          <w:szCs w:val="24"/>
        </w:rPr>
        <w:t xml:space="preserve"> del </w:t>
      </w:r>
      <w:r w:rsidR="007E68D0" w:rsidRPr="009B7721">
        <w:rPr>
          <w:rFonts w:ascii="Century Gothic" w:hAnsi="Century Gothic"/>
          <w:iCs/>
          <w:color w:val="000000" w:themeColor="text1"/>
          <w:sz w:val="24"/>
          <w:szCs w:val="24"/>
        </w:rPr>
        <w:t>Comité de Expertas y Expertos de MESICIC que es el órgano responsable del análisis técnico de la implementación de la Convención</w:t>
      </w:r>
      <w:r w:rsidR="00986DFA" w:rsidRPr="009B7721">
        <w:rPr>
          <w:rFonts w:ascii="Century Gothic" w:hAnsi="Century Gothic"/>
          <w:iCs/>
          <w:color w:val="000000" w:themeColor="text1"/>
          <w:sz w:val="24"/>
          <w:szCs w:val="24"/>
        </w:rPr>
        <w:t xml:space="preserve"> por los Estados Parte.</w:t>
      </w:r>
      <w:r w:rsidR="009B7721" w:rsidRPr="009B7721">
        <w:rPr>
          <w:rFonts w:ascii="Century Gothic" w:hAnsi="Century Gothic"/>
          <w:iCs/>
          <w:color w:val="000000" w:themeColor="text1"/>
          <w:sz w:val="24"/>
          <w:szCs w:val="24"/>
        </w:rPr>
        <w:t xml:space="preserve"> </w:t>
      </w:r>
    </w:p>
    <w:p w14:paraId="70E72712" w14:textId="5EA0E423" w:rsidR="001C6300" w:rsidRDefault="009B7721" w:rsidP="001C6300">
      <w:pPr>
        <w:ind w:firstLine="720"/>
        <w:jc w:val="both"/>
        <w:rPr>
          <w:rFonts w:ascii="Century Gothic" w:hAnsi="Century Gothic"/>
          <w:iCs/>
          <w:color w:val="000000" w:themeColor="text1"/>
          <w:sz w:val="24"/>
          <w:szCs w:val="24"/>
        </w:rPr>
      </w:pPr>
      <w:r w:rsidRPr="009B7721">
        <w:rPr>
          <w:rFonts w:ascii="Century Gothic" w:hAnsi="Century Gothic"/>
          <w:iCs/>
          <w:color w:val="000000" w:themeColor="text1"/>
          <w:sz w:val="24"/>
          <w:szCs w:val="24"/>
        </w:rPr>
        <w:t>Esto se traduce en una oportunidad estratégica para la institucionalidad pública panameña de posicionar sus avances no sólo en materia de combate a la corrupción, sino también en el uso de datos abiertos para el cumplimiento de la Convención</w:t>
      </w:r>
      <w:r w:rsidR="002B7F76">
        <w:rPr>
          <w:rFonts w:ascii="Century Gothic" w:hAnsi="Century Gothic"/>
          <w:iCs/>
          <w:color w:val="000000" w:themeColor="text1"/>
          <w:sz w:val="24"/>
          <w:szCs w:val="24"/>
        </w:rPr>
        <w:t>. Así como incidir y promover a nivel regional los datos abiertos como una herramienta eficaz y participativa para el combate a la corrupción.</w:t>
      </w:r>
    </w:p>
    <w:p w14:paraId="29750080" w14:textId="77777777" w:rsidR="001C6300" w:rsidRDefault="001C6300" w:rsidP="002B7F76">
      <w:pPr>
        <w:jc w:val="both"/>
        <w:rPr>
          <w:rFonts w:ascii="Century Gothic" w:hAnsi="Century Gothic"/>
          <w:b/>
          <w:bCs/>
          <w:iCs/>
          <w:color w:val="000000" w:themeColor="text1"/>
          <w:sz w:val="24"/>
          <w:szCs w:val="24"/>
        </w:rPr>
      </w:pPr>
    </w:p>
    <w:p w14:paraId="26C218F1" w14:textId="1995731E" w:rsidR="008B0434" w:rsidRDefault="008B0434" w:rsidP="001C6300">
      <w:pPr>
        <w:ind w:firstLine="720"/>
        <w:jc w:val="both"/>
        <w:rPr>
          <w:rFonts w:ascii="Century Gothic" w:hAnsi="Century Gothic"/>
          <w:color w:val="000000" w:themeColor="text1"/>
          <w:sz w:val="24"/>
          <w:szCs w:val="24"/>
        </w:rPr>
      </w:pPr>
      <w:r w:rsidRPr="000E696C">
        <w:rPr>
          <w:rFonts w:ascii="Century Gothic" w:hAnsi="Century Gothic"/>
          <w:b/>
          <w:bCs/>
          <w:iCs/>
          <w:color w:val="000000" w:themeColor="text1"/>
          <w:sz w:val="24"/>
          <w:szCs w:val="24"/>
        </w:rPr>
        <w:t>Alianza para el Gobierno Abierto</w:t>
      </w:r>
      <w:r w:rsidR="00DD3066" w:rsidRPr="000E696C">
        <w:rPr>
          <w:rFonts w:ascii="Century Gothic" w:hAnsi="Century Gothic"/>
          <w:b/>
          <w:bCs/>
          <w:iCs/>
          <w:color w:val="000000" w:themeColor="text1"/>
          <w:sz w:val="24"/>
          <w:szCs w:val="24"/>
        </w:rPr>
        <w:t xml:space="preserve"> (</w:t>
      </w:r>
      <w:r w:rsidR="00DB0BBE" w:rsidRPr="000E696C">
        <w:rPr>
          <w:rFonts w:ascii="Century Gothic" w:hAnsi="Century Gothic"/>
          <w:b/>
          <w:bCs/>
          <w:iCs/>
          <w:color w:val="000000" w:themeColor="text1"/>
          <w:sz w:val="24"/>
          <w:szCs w:val="24"/>
        </w:rPr>
        <w:t>OGP</w:t>
      </w:r>
      <w:r w:rsidR="00BD37D5">
        <w:rPr>
          <w:rFonts w:ascii="Century Gothic" w:hAnsi="Century Gothic"/>
          <w:b/>
          <w:bCs/>
          <w:iCs/>
          <w:color w:val="000000" w:themeColor="text1"/>
          <w:sz w:val="24"/>
          <w:szCs w:val="24"/>
        </w:rPr>
        <w:t>,</w:t>
      </w:r>
      <w:r w:rsidR="00DB0BBE" w:rsidRPr="000E696C">
        <w:rPr>
          <w:rFonts w:ascii="Century Gothic" w:hAnsi="Century Gothic"/>
          <w:b/>
          <w:bCs/>
          <w:iCs/>
          <w:color w:val="000000" w:themeColor="text1"/>
          <w:sz w:val="24"/>
          <w:szCs w:val="24"/>
        </w:rPr>
        <w:t xml:space="preserve"> por sus siglas en inglés</w:t>
      </w:r>
      <w:r w:rsidR="00DD3066" w:rsidRPr="000E696C">
        <w:rPr>
          <w:rFonts w:ascii="Century Gothic" w:hAnsi="Century Gothic"/>
          <w:b/>
          <w:bCs/>
          <w:iCs/>
          <w:color w:val="000000" w:themeColor="text1"/>
          <w:sz w:val="24"/>
          <w:szCs w:val="24"/>
        </w:rPr>
        <w:t>)</w:t>
      </w:r>
      <w:r w:rsidR="0088572D" w:rsidRPr="000E696C">
        <w:rPr>
          <w:rFonts w:ascii="Century Gothic" w:hAnsi="Century Gothic"/>
          <w:b/>
          <w:bCs/>
          <w:iCs/>
          <w:color w:val="000000" w:themeColor="text1"/>
          <w:sz w:val="24"/>
          <w:szCs w:val="24"/>
        </w:rPr>
        <w:t>:</w:t>
      </w:r>
      <w:r w:rsidR="00081065" w:rsidRPr="000E696C">
        <w:rPr>
          <w:rFonts w:ascii="Century Gothic" w:eastAsiaTheme="minorHAnsi" w:hAnsi="Century Gothic"/>
          <w:b/>
          <w:bCs/>
          <w:iCs/>
          <w:color w:val="000000" w:themeColor="text1"/>
          <w:sz w:val="24"/>
          <w:szCs w:val="24"/>
          <w:lang w:val="es-CR"/>
        </w:rPr>
        <w:t xml:space="preserve"> </w:t>
      </w:r>
      <w:r w:rsidR="00081065" w:rsidRPr="000E696C">
        <w:rPr>
          <w:rFonts w:ascii="Century Gothic" w:eastAsiaTheme="minorHAnsi" w:hAnsi="Century Gothic"/>
          <w:iCs/>
          <w:color w:val="000000" w:themeColor="text1"/>
          <w:sz w:val="24"/>
          <w:szCs w:val="24"/>
          <w:lang w:val="es-CR"/>
        </w:rPr>
        <w:t>Panamá la integra desde enero de 2012</w:t>
      </w:r>
      <w:r w:rsidR="00DD3066" w:rsidRPr="000E696C">
        <w:rPr>
          <w:rFonts w:ascii="Century Gothic" w:eastAsiaTheme="minorHAnsi" w:hAnsi="Century Gothic"/>
          <w:iCs/>
          <w:color w:val="000000" w:themeColor="text1"/>
          <w:sz w:val="24"/>
          <w:szCs w:val="24"/>
          <w:lang w:val="es-CR"/>
        </w:rPr>
        <w:t xml:space="preserve"> y cuenta con su Comisión Nacional de Gobierno Abierto</w:t>
      </w:r>
      <w:r w:rsidR="00081065" w:rsidRPr="000E696C">
        <w:rPr>
          <w:rFonts w:ascii="Century Gothic" w:eastAsiaTheme="minorHAnsi" w:hAnsi="Century Gothic"/>
          <w:iCs/>
          <w:color w:val="000000" w:themeColor="text1"/>
          <w:sz w:val="24"/>
          <w:szCs w:val="24"/>
          <w:lang w:val="es-CR"/>
        </w:rPr>
        <w:t xml:space="preserve">. </w:t>
      </w:r>
      <w:r w:rsidR="00DD3066" w:rsidRPr="000E696C">
        <w:rPr>
          <w:rFonts w:ascii="Century Gothic" w:hAnsi="Century Gothic"/>
          <w:color w:val="000000" w:themeColor="text1"/>
          <w:sz w:val="24"/>
          <w:szCs w:val="24"/>
        </w:rPr>
        <w:t>A nivel técnico</w:t>
      </w:r>
      <w:r w:rsidRPr="000E696C">
        <w:rPr>
          <w:rFonts w:ascii="Century Gothic" w:hAnsi="Century Gothic"/>
          <w:color w:val="000000" w:themeColor="text1"/>
          <w:sz w:val="24"/>
          <w:szCs w:val="24"/>
        </w:rPr>
        <w:t xml:space="preserve">, destacan los estándares de participación y </w:t>
      </w:r>
      <w:proofErr w:type="spellStart"/>
      <w:r w:rsidRPr="000E696C">
        <w:rPr>
          <w:rFonts w:ascii="Century Gothic" w:hAnsi="Century Gothic"/>
          <w:color w:val="000000" w:themeColor="text1"/>
          <w:sz w:val="24"/>
          <w:szCs w:val="24"/>
        </w:rPr>
        <w:t>co</w:t>
      </w:r>
      <w:proofErr w:type="spellEnd"/>
      <w:r w:rsidRPr="000E696C">
        <w:rPr>
          <w:rFonts w:ascii="Century Gothic" w:hAnsi="Century Gothic"/>
          <w:color w:val="000000" w:themeColor="text1"/>
          <w:sz w:val="24"/>
          <w:szCs w:val="24"/>
        </w:rPr>
        <w:t xml:space="preserve">-creación, el manual para los foros multisectoriales y el manual para los puntos de contacto, cada una de estas herramientas pueden ser acogidas para garantizar </w:t>
      </w:r>
      <w:r w:rsidR="00BD37D5">
        <w:rPr>
          <w:rFonts w:ascii="Century Gothic" w:hAnsi="Century Gothic"/>
          <w:color w:val="000000" w:themeColor="text1"/>
          <w:sz w:val="24"/>
          <w:szCs w:val="24"/>
        </w:rPr>
        <w:t xml:space="preserve">estándares </w:t>
      </w:r>
      <w:r w:rsidRPr="000E696C">
        <w:rPr>
          <w:rFonts w:ascii="Century Gothic" w:hAnsi="Century Gothic"/>
          <w:color w:val="000000" w:themeColor="text1"/>
          <w:sz w:val="24"/>
          <w:szCs w:val="24"/>
        </w:rPr>
        <w:t xml:space="preserve">mínimos de participación ciudadana y </w:t>
      </w:r>
      <w:proofErr w:type="spellStart"/>
      <w:r w:rsidRPr="000E696C">
        <w:rPr>
          <w:rFonts w:ascii="Century Gothic" w:hAnsi="Century Gothic"/>
          <w:color w:val="000000" w:themeColor="text1"/>
          <w:sz w:val="24"/>
          <w:szCs w:val="24"/>
        </w:rPr>
        <w:t>co</w:t>
      </w:r>
      <w:proofErr w:type="spellEnd"/>
      <w:r w:rsidRPr="000E696C">
        <w:rPr>
          <w:rFonts w:ascii="Century Gothic" w:hAnsi="Century Gothic"/>
          <w:color w:val="000000" w:themeColor="text1"/>
          <w:sz w:val="24"/>
          <w:szCs w:val="24"/>
        </w:rPr>
        <w:t>-creación</w:t>
      </w:r>
      <w:r w:rsidR="0088572D" w:rsidRPr="000E696C">
        <w:rPr>
          <w:rFonts w:ascii="Century Gothic" w:hAnsi="Century Gothic"/>
          <w:color w:val="000000" w:themeColor="text1"/>
          <w:sz w:val="24"/>
          <w:szCs w:val="24"/>
        </w:rPr>
        <w:t xml:space="preserve">. </w:t>
      </w:r>
      <w:r w:rsidRPr="000E696C">
        <w:rPr>
          <w:rFonts w:ascii="Century Gothic" w:hAnsi="Century Gothic"/>
          <w:color w:val="000000" w:themeColor="text1"/>
          <w:sz w:val="24"/>
          <w:szCs w:val="24"/>
        </w:rPr>
        <w:t xml:space="preserve">Además, la Alianza elaboró los </w:t>
      </w:r>
      <w:r w:rsidRPr="000E696C">
        <w:rPr>
          <w:rFonts w:ascii="Century Gothic" w:hAnsi="Century Gothic"/>
          <w:i/>
          <w:color w:val="000000" w:themeColor="text1"/>
          <w:sz w:val="24"/>
          <w:szCs w:val="24"/>
        </w:rPr>
        <w:t>Estándares de Participación y Co-creación</w:t>
      </w:r>
      <w:r w:rsidRPr="000E696C">
        <w:rPr>
          <w:rStyle w:val="Refdenotaalpie"/>
          <w:rFonts w:ascii="Century Gothic" w:hAnsi="Century Gothic"/>
          <w:i/>
          <w:color w:val="000000" w:themeColor="text1"/>
          <w:sz w:val="24"/>
          <w:szCs w:val="24"/>
        </w:rPr>
        <w:footnoteReference w:id="16"/>
      </w:r>
      <w:r w:rsidRPr="000E696C">
        <w:rPr>
          <w:rFonts w:ascii="Century Gothic" w:hAnsi="Century Gothic"/>
          <w:i/>
          <w:color w:val="000000" w:themeColor="text1"/>
          <w:sz w:val="24"/>
          <w:szCs w:val="24"/>
        </w:rPr>
        <w:t xml:space="preserve">, </w:t>
      </w:r>
      <w:r w:rsidRPr="000E696C">
        <w:rPr>
          <w:rFonts w:ascii="Century Gothic" w:hAnsi="Century Gothic"/>
          <w:color w:val="000000" w:themeColor="text1"/>
          <w:sz w:val="24"/>
          <w:szCs w:val="24"/>
        </w:rPr>
        <w:t xml:space="preserve">que facilitaron la incorporación de las mejoras que se han venido discutiendo y evaluando a lo largo de la gestión de los Planes de Acción. </w:t>
      </w:r>
    </w:p>
    <w:p w14:paraId="285F7583" w14:textId="22E6105B" w:rsidR="002B7F76" w:rsidRDefault="002B7F76" w:rsidP="002B7F76">
      <w:pPr>
        <w:ind w:firstLine="720"/>
        <w:jc w:val="both"/>
        <w:rPr>
          <w:rFonts w:ascii="Century Gothic" w:hAnsi="Century Gothic"/>
          <w:color w:val="000000" w:themeColor="text1"/>
          <w:sz w:val="24"/>
          <w:szCs w:val="24"/>
        </w:rPr>
      </w:pPr>
      <w:r>
        <w:rPr>
          <w:rFonts w:ascii="Century Gothic" w:hAnsi="Century Gothic"/>
          <w:color w:val="000000" w:themeColor="text1"/>
          <w:sz w:val="24"/>
          <w:szCs w:val="24"/>
        </w:rPr>
        <w:t xml:space="preserve">Actualmente Panamá se encuentra implementando el </w:t>
      </w:r>
      <w:r w:rsidRPr="00CF252F">
        <w:rPr>
          <w:rFonts w:ascii="Century Gothic" w:hAnsi="Century Gothic"/>
          <w:b/>
          <w:bCs/>
          <w:color w:val="000000" w:themeColor="text1"/>
          <w:sz w:val="24"/>
          <w:szCs w:val="24"/>
        </w:rPr>
        <w:t>IV Plan de Acción</w:t>
      </w:r>
      <w:r w:rsidR="00CF252F">
        <w:rPr>
          <w:rStyle w:val="Refdenotaalpie"/>
          <w:rFonts w:ascii="Century Gothic" w:hAnsi="Century Gothic"/>
          <w:b/>
          <w:bCs/>
          <w:color w:val="000000" w:themeColor="text1"/>
          <w:sz w:val="24"/>
          <w:szCs w:val="24"/>
        </w:rPr>
        <w:footnoteReference w:id="17"/>
      </w:r>
      <w:r>
        <w:rPr>
          <w:rFonts w:ascii="Century Gothic" w:hAnsi="Century Gothic"/>
          <w:color w:val="000000" w:themeColor="text1"/>
          <w:sz w:val="24"/>
          <w:szCs w:val="24"/>
        </w:rPr>
        <w:t>, en el cual 4 de sus líneas temáticas son afines al proceso de implementación del PIDA: transparencia e integridad pública, modernización del Estado, acceso a la información y presupuestos abiertos.</w:t>
      </w:r>
    </w:p>
    <w:p w14:paraId="5FF00379" w14:textId="0BF2C2AC" w:rsidR="002B7F76" w:rsidRDefault="002B7F76" w:rsidP="002B7F76">
      <w:pPr>
        <w:ind w:firstLine="720"/>
        <w:jc w:val="both"/>
        <w:rPr>
          <w:rFonts w:ascii="Century Gothic" w:hAnsi="Century Gothic"/>
          <w:color w:val="000000" w:themeColor="text1"/>
          <w:sz w:val="24"/>
          <w:szCs w:val="24"/>
        </w:rPr>
      </w:pPr>
      <w:r>
        <w:rPr>
          <w:rFonts w:ascii="Century Gothic" w:hAnsi="Century Gothic"/>
          <w:color w:val="000000" w:themeColor="text1"/>
          <w:sz w:val="24"/>
          <w:szCs w:val="24"/>
        </w:rPr>
        <w:t>En esta misma línea, los compromisos puntuales que se relacionan con el PIDA son:</w:t>
      </w:r>
    </w:p>
    <w:p w14:paraId="7A6B364B" w14:textId="48E029A1" w:rsidR="007E62B7" w:rsidRDefault="002B7F76" w:rsidP="007E62B7">
      <w:pPr>
        <w:pStyle w:val="Prrafodelista"/>
        <w:numPr>
          <w:ilvl w:val="0"/>
          <w:numId w:val="31"/>
        </w:numPr>
        <w:jc w:val="both"/>
        <w:rPr>
          <w:rFonts w:ascii="Century Gothic" w:hAnsi="Century Gothic"/>
          <w:color w:val="000000" w:themeColor="text1"/>
          <w:sz w:val="24"/>
          <w:szCs w:val="24"/>
        </w:rPr>
      </w:pPr>
      <w:r>
        <w:rPr>
          <w:rFonts w:ascii="Century Gothic" w:hAnsi="Century Gothic"/>
          <w:color w:val="000000" w:themeColor="text1"/>
          <w:sz w:val="24"/>
          <w:szCs w:val="24"/>
        </w:rPr>
        <w:t xml:space="preserve">Contrataciones </w:t>
      </w:r>
      <w:r w:rsidR="007E62B7">
        <w:rPr>
          <w:rFonts w:ascii="Century Gothic" w:hAnsi="Century Gothic"/>
          <w:color w:val="000000" w:themeColor="text1"/>
          <w:sz w:val="24"/>
          <w:szCs w:val="24"/>
        </w:rPr>
        <w:t>abiertas</w:t>
      </w:r>
      <w:r>
        <w:rPr>
          <w:rFonts w:ascii="Century Gothic" w:hAnsi="Century Gothic"/>
          <w:color w:val="000000" w:themeColor="text1"/>
          <w:sz w:val="24"/>
          <w:szCs w:val="24"/>
        </w:rPr>
        <w:t xml:space="preserve"> y transparencia</w:t>
      </w:r>
      <w:r w:rsidR="007E62B7">
        <w:rPr>
          <w:rFonts w:ascii="Century Gothic" w:hAnsi="Century Gothic"/>
          <w:color w:val="000000" w:themeColor="text1"/>
          <w:sz w:val="24"/>
          <w:szCs w:val="24"/>
        </w:rPr>
        <w:t xml:space="preserve"> en la infraestructura pública de Panamá.</w:t>
      </w:r>
    </w:p>
    <w:p w14:paraId="5AA9E399" w14:textId="38D186EB" w:rsidR="007E62B7" w:rsidRDefault="007E62B7" w:rsidP="007E62B7">
      <w:pPr>
        <w:pStyle w:val="Prrafodelista"/>
        <w:numPr>
          <w:ilvl w:val="0"/>
          <w:numId w:val="31"/>
        </w:numPr>
        <w:jc w:val="both"/>
        <w:rPr>
          <w:rFonts w:ascii="Century Gothic" w:hAnsi="Century Gothic"/>
          <w:color w:val="000000" w:themeColor="text1"/>
          <w:sz w:val="24"/>
          <w:szCs w:val="24"/>
        </w:rPr>
      </w:pPr>
      <w:r>
        <w:rPr>
          <w:rFonts w:ascii="Century Gothic" w:hAnsi="Century Gothic"/>
          <w:color w:val="000000" w:themeColor="text1"/>
          <w:sz w:val="24"/>
          <w:szCs w:val="24"/>
        </w:rPr>
        <w:t>Escuela de Gobierno Abierto.</w:t>
      </w:r>
    </w:p>
    <w:p w14:paraId="5931B698" w14:textId="1723BCCD" w:rsidR="007E62B7" w:rsidRDefault="007E62B7" w:rsidP="007E62B7">
      <w:pPr>
        <w:pStyle w:val="Prrafodelista"/>
        <w:numPr>
          <w:ilvl w:val="0"/>
          <w:numId w:val="31"/>
        </w:numPr>
        <w:jc w:val="both"/>
        <w:rPr>
          <w:rFonts w:ascii="Century Gothic" w:hAnsi="Century Gothic"/>
          <w:color w:val="000000" w:themeColor="text1"/>
          <w:sz w:val="24"/>
          <w:szCs w:val="24"/>
        </w:rPr>
      </w:pPr>
      <w:r>
        <w:rPr>
          <w:rFonts w:ascii="Century Gothic" w:hAnsi="Century Gothic"/>
          <w:color w:val="000000" w:themeColor="text1"/>
          <w:sz w:val="24"/>
          <w:szCs w:val="24"/>
        </w:rPr>
        <w:t>Presupuestos abiertos.</w:t>
      </w:r>
    </w:p>
    <w:p w14:paraId="3F4BBECD" w14:textId="77777777" w:rsidR="007E62B7" w:rsidRDefault="007E62B7" w:rsidP="007E62B7">
      <w:pPr>
        <w:jc w:val="both"/>
        <w:rPr>
          <w:rFonts w:ascii="Century Gothic" w:hAnsi="Century Gothic"/>
          <w:color w:val="000000" w:themeColor="text1"/>
          <w:sz w:val="24"/>
          <w:szCs w:val="24"/>
        </w:rPr>
      </w:pPr>
    </w:p>
    <w:p w14:paraId="510EB088" w14:textId="10D4071C" w:rsidR="007E62B7" w:rsidRPr="007E62B7" w:rsidRDefault="007E62B7" w:rsidP="007E62B7">
      <w:pPr>
        <w:ind w:firstLine="720"/>
        <w:jc w:val="both"/>
        <w:rPr>
          <w:rFonts w:ascii="Century Gothic" w:hAnsi="Century Gothic"/>
          <w:color w:val="000000" w:themeColor="text1"/>
          <w:sz w:val="24"/>
          <w:szCs w:val="24"/>
        </w:rPr>
      </w:pPr>
      <w:r>
        <w:rPr>
          <w:rFonts w:ascii="Century Gothic" w:hAnsi="Century Gothic"/>
          <w:color w:val="000000" w:themeColor="text1"/>
          <w:sz w:val="24"/>
          <w:szCs w:val="24"/>
        </w:rPr>
        <w:t>La posibilidad de alinear la implementación del IV Plan de Acción con el proceso del PIDA facilitaría la coordinación interinstitucional y el involucramiento activo de sociedad civil, garantizando además la sostenibilidad de las reformas que se propongan y la posibilidad de medir su avance e impacto.</w:t>
      </w:r>
    </w:p>
    <w:p w14:paraId="24C1E99D" w14:textId="77777777" w:rsidR="0088572D" w:rsidRPr="000E696C" w:rsidRDefault="0088572D" w:rsidP="007E62B7">
      <w:pPr>
        <w:jc w:val="both"/>
        <w:rPr>
          <w:rFonts w:ascii="Century Gothic" w:hAnsi="Century Gothic"/>
          <w:b/>
          <w:bCs/>
          <w:iCs/>
          <w:color w:val="000000" w:themeColor="text1"/>
          <w:sz w:val="24"/>
          <w:szCs w:val="24"/>
        </w:rPr>
      </w:pPr>
    </w:p>
    <w:p w14:paraId="606D7ADD" w14:textId="73D45686" w:rsidR="008B0434" w:rsidRPr="000E696C" w:rsidRDefault="008B0434" w:rsidP="00F050EC">
      <w:pPr>
        <w:ind w:firstLine="720"/>
        <w:jc w:val="both"/>
        <w:rPr>
          <w:rFonts w:ascii="Century Gothic" w:hAnsi="Century Gothic"/>
          <w:b/>
          <w:bCs/>
          <w:iCs/>
          <w:color w:val="000000" w:themeColor="text1"/>
          <w:sz w:val="24"/>
          <w:szCs w:val="24"/>
        </w:rPr>
      </w:pPr>
      <w:r w:rsidRPr="000E696C">
        <w:rPr>
          <w:rFonts w:ascii="Century Gothic" w:hAnsi="Century Gothic"/>
          <w:b/>
          <w:bCs/>
          <w:iCs/>
          <w:color w:val="000000" w:themeColor="text1"/>
          <w:sz w:val="24"/>
          <w:szCs w:val="24"/>
        </w:rPr>
        <w:lastRenderedPageBreak/>
        <w:t>Organización para la Cooperación y el Desarrollo Económico</w:t>
      </w:r>
      <w:r w:rsidR="00DD3066" w:rsidRPr="000E696C">
        <w:rPr>
          <w:rFonts w:ascii="Century Gothic" w:hAnsi="Century Gothic"/>
          <w:b/>
          <w:bCs/>
          <w:iCs/>
          <w:color w:val="000000" w:themeColor="text1"/>
          <w:sz w:val="24"/>
          <w:szCs w:val="24"/>
        </w:rPr>
        <w:t xml:space="preserve"> (OCDE): </w:t>
      </w:r>
      <w:r w:rsidRPr="000E696C">
        <w:rPr>
          <w:rFonts w:ascii="Century Gothic" w:hAnsi="Century Gothic"/>
          <w:color w:val="000000" w:themeColor="text1"/>
          <w:sz w:val="24"/>
          <w:szCs w:val="24"/>
        </w:rPr>
        <w:t xml:space="preserve">La OCDE ha realizado una serie de estudios en la región en los últimos años, en los que el paradigma del Gobierno Abierto ha tenido una serie de avances importantes en América Latina. Además en 2018 se aprobó la </w:t>
      </w:r>
      <w:r w:rsidRPr="000E696C">
        <w:rPr>
          <w:rFonts w:ascii="Century Gothic" w:hAnsi="Century Gothic"/>
          <w:i/>
          <w:color w:val="000000" w:themeColor="text1"/>
          <w:sz w:val="24"/>
          <w:szCs w:val="24"/>
        </w:rPr>
        <w:t>Recomendación del Consejo de la OCDE sobre Gobierno Abierto</w:t>
      </w:r>
      <w:r w:rsidRPr="000E696C">
        <w:rPr>
          <w:rStyle w:val="Refdenotaalpie"/>
          <w:rFonts w:ascii="Century Gothic" w:hAnsi="Century Gothic"/>
          <w:i/>
          <w:color w:val="000000" w:themeColor="text1"/>
          <w:sz w:val="24"/>
          <w:szCs w:val="24"/>
        </w:rPr>
        <w:footnoteReference w:id="18"/>
      </w:r>
      <w:r w:rsidRPr="000E696C">
        <w:rPr>
          <w:rFonts w:ascii="Century Gothic" w:hAnsi="Century Gothic"/>
          <w:i/>
          <w:color w:val="000000" w:themeColor="text1"/>
          <w:sz w:val="24"/>
          <w:szCs w:val="24"/>
        </w:rPr>
        <w:t xml:space="preserve">, </w:t>
      </w:r>
      <w:r w:rsidRPr="000E696C">
        <w:rPr>
          <w:rFonts w:ascii="Century Gothic" w:hAnsi="Century Gothic"/>
          <w:color w:val="000000" w:themeColor="text1"/>
          <w:sz w:val="24"/>
          <w:szCs w:val="24"/>
        </w:rPr>
        <w:t xml:space="preserve">la cual define como Estado Abierto </w:t>
      </w:r>
      <w:r w:rsidRPr="000E696C">
        <w:rPr>
          <w:rFonts w:ascii="Century Gothic" w:hAnsi="Century Gothic"/>
          <w:i/>
          <w:color w:val="000000" w:themeColor="text1"/>
          <w:sz w:val="24"/>
          <w:szCs w:val="24"/>
        </w:rPr>
        <w:t xml:space="preserve">“cuando los poderes ejecutivo, legislativo y judicial, las instituciones públicas independientes y todos los niveles de gobierno - reconociendo sus respectivos roles, prerrogativas e independencia general conforme a sus actuales marcos jurídicos e institucionales - colaboran, explotan sinergias y comparten buenas prácticas y lecciones aprendidas entre ellos y con otras partes interesadas para promover transparencia, integridad, rendición de cuentas y participación de las partes interesadas, en apoyo de la democracia y el crecimiento inclusivo.” </w:t>
      </w:r>
      <w:sdt>
        <w:sdtPr>
          <w:rPr>
            <w:rFonts w:ascii="Century Gothic" w:hAnsi="Century Gothic"/>
            <w:i/>
            <w:color w:val="000000" w:themeColor="text1"/>
            <w:sz w:val="24"/>
            <w:szCs w:val="24"/>
          </w:rPr>
          <w:id w:val="-2016448872"/>
          <w:citation/>
        </w:sdtPr>
        <w:sdtContent>
          <w:r w:rsidRPr="000E696C">
            <w:rPr>
              <w:rFonts w:ascii="Century Gothic" w:hAnsi="Century Gothic"/>
              <w:i/>
              <w:color w:val="000000" w:themeColor="text1"/>
              <w:sz w:val="24"/>
              <w:szCs w:val="24"/>
            </w:rPr>
            <w:fldChar w:fldCharType="begin"/>
          </w:r>
          <w:r w:rsidRPr="000E696C">
            <w:rPr>
              <w:rFonts w:ascii="Century Gothic" w:hAnsi="Century Gothic"/>
              <w:color w:val="000000" w:themeColor="text1"/>
              <w:sz w:val="24"/>
              <w:szCs w:val="24"/>
              <w:lang w:val="es-CR"/>
            </w:rPr>
            <w:instrText xml:space="preserve"> CITATION OCD18 \l 5130 </w:instrText>
          </w:r>
          <w:r w:rsidRPr="000E696C">
            <w:rPr>
              <w:rFonts w:ascii="Century Gothic" w:hAnsi="Century Gothic"/>
              <w:i/>
              <w:color w:val="000000" w:themeColor="text1"/>
              <w:sz w:val="24"/>
              <w:szCs w:val="24"/>
            </w:rPr>
            <w:fldChar w:fldCharType="separate"/>
          </w:r>
          <w:r w:rsidRPr="000E696C">
            <w:rPr>
              <w:rFonts w:ascii="Century Gothic" w:hAnsi="Century Gothic"/>
              <w:noProof/>
              <w:color w:val="000000" w:themeColor="text1"/>
              <w:sz w:val="24"/>
              <w:szCs w:val="24"/>
              <w:lang w:val="es-CR"/>
            </w:rPr>
            <w:t>(OCDE, 2018)</w:t>
          </w:r>
          <w:r w:rsidRPr="000E696C">
            <w:rPr>
              <w:rFonts w:ascii="Century Gothic" w:hAnsi="Century Gothic"/>
              <w:i/>
              <w:color w:val="000000" w:themeColor="text1"/>
              <w:sz w:val="24"/>
              <w:szCs w:val="24"/>
            </w:rPr>
            <w:fldChar w:fldCharType="end"/>
          </w:r>
        </w:sdtContent>
      </w:sdt>
      <w:r w:rsidRPr="000E696C">
        <w:rPr>
          <w:rFonts w:ascii="Century Gothic" w:hAnsi="Century Gothic"/>
          <w:i/>
          <w:color w:val="000000" w:themeColor="text1"/>
          <w:sz w:val="24"/>
          <w:szCs w:val="24"/>
        </w:rPr>
        <w:t xml:space="preserve"> </w:t>
      </w:r>
    </w:p>
    <w:p w14:paraId="03F8EB71" w14:textId="77777777" w:rsidR="008B0434" w:rsidRPr="000E696C" w:rsidRDefault="008B0434" w:rsidP="00C85498">
      <w:pPr>
        <w:jc w:val="both"/>
        <w:rPr>
          <w:rFonts w:ascii="Century Gothic" w:hAnsi="Century Gothic"/>
          <w:b/>
          <w:bCs/>
          <w:iCs/>
          <w:color w:val="000000" w:themeColor="text1"/>
          <w:sz w:val="24"/>
          <w:szCs w:val="24"/>
        </w:rPr>
      </w:pPr>
    </w:p>
    <w:p w14:paraId="2CA6B5A8" w14:textId="423A298C" w:rsidR="008B0434" w:rsidRPr="000E696C" w:rsidRDefault="008B0434" w:rsidP="00F050EC">
      <w:pPr>
        <w:ind w:firstLine="720"/>
        <w:jc w:val="both"/>
        <w:rPr>
          <w:rFonts w:ascii="Century Gothic" w:hAnsi="Century Gothic"/>
          <w:b/>
          <w:bCs/>
          <w:iCs/>
          <w:color w:val="000000" w:themeColor="text1"/>
          <w:sz w:val="24"/>
          <w:szCs w:val="24"/>
        </w:rPr>
      </w:pPr>
      <w:r w:rsidRPr="000E696C">
        <w:rPr>
          <w:rFonts w:ascii="Century Gothic" w:hAnsi="Century Gothic"/>
          <w:b/>
          <w:bCs/>
          <w:iCs/>
          <w:color w:val="000000" w:themeColor="text1"/>
          <w:sz w:val="24"/>
          <w:szCs w:val="24"/>
        </w:rPr>
        <w:t>Carta Internacional de Datos Abiertos</w:t>
      </w:r>
      <w:r w:rsidRPr="000E696C">
        <w:rPr>
          <w:rStyle w:val="Refdenotaalpie"/>
          <w:rFonts w:ascii="Century Gothic" w:hAnsi="Century Gothic"/>
          <w:b/>
          <w:bCs/>
          <w:iCs/>
          <w:color w:val="000000" w:themeColor="text1"/>
          <w:sz w:val="24"/>
          <w:szCs w:val="24"/>
        </w:rPr>
        <w:footnoteReference w:id="19"/>
      </w:r>
      <w:r w:rsidR="00C85498" w:rsidRPr="000E696C">
        <w:rPr>
          <w:rFonts w:ascii="Century Gothic" w:hAnsi="Century Gothic"/>
          <w:b/>
          <w:bCs/>
          <w:iCs/>
          <w:color w:val="000000" w:themeColor="text1"/>
          <w:sz w:val="24"/>
          <w:szCs w:val="24"/>
        </w:rPr>
        <w:t xml:space="preserve">: </w:t>
      </w:r>
      <w:r w:rsidR="00837E65" w:rsidRPr="000E696C">
        <w:rPr>
          <w:rFonts w:ascii="Century Gothic" w:hAnsi="Century Gothic"/>
          <w:iCs/>
          <w:color w:val="000000" w:themeColor="text1"/>
          <w:sz w:val="24"/>
          <w:szCs w:val="24"/>
        </w:rPr>
        <w:t>Panamá es país firmante de este instrumento, el cual</w:t>
      </w:r>
      <w:r w:rsidRPr="000E696C">
        <w:rPr>
          <w:rFonts w:ascii="Century Gothic" w:hAnsi="Century Gothic"/>
          <w:color w:val="000000" w:themeColor="text1"/>
          <w:sz w:val="24"/>
          <w:szCs w:val="24"/>
        </w:rPr>
        <w:t xml:space="preserve"> propone una serie de principios, que deben ser acogidos por sus adoptantes para garantizar una liberación de datos en formato abierto</w:t>
      </w:r>
      <w:r w:rsidR="00837E65" w:rsidRPr="000E696C">
        <w:rPr>
          <w:rFonts w:ascii="Century Gothic" w:hAnsi="Century Gothic"/>
          <w:color w:val="000000" w:themeColor="text1"/>
          <w:sz w:val="24"/>
          <w:szCs w:val="24"/>
        </w:rPr>
        <w:t>, los cuales además inspiran el PIDA:</w:t>
      </w:r>
      <w:r w:rsidR="00C85498" w:rsidRPr="000E696C">
        <w:rPr>
          <w:rFonts w:ascii="Century Gothic" w:hAnsi="Century Gothic"/>
          <w:b/>
          <w:bCs/>
          <w:iCs/>
          <w:color w:val="000000" w:themeColor="text1"/>
          <w:sz w:val="24"/>
          <w:szCs w:val="24"/>
        </w:rPr>
        <w:t xml:space="preserve"> </w:t>
      </w:r>
      <w:r w:rsidR="00837E65" w:rsidRPr="000E696C">
        <w:rPr>
          <w:rFonts w:ascii="Century Gothic" w:hAnsi="Century Gothic"/>
          <w:color w:val="000000" w:themeColor="text1"/>
          <w:sz w:val="24"/>
          <w:szCs w:val="24"/>
        </w:rPr>
        <w:t>a</w:t>
      </w:r>
      <w:r w:rsidRPr="000E696C">
        <w:rPr>
          <w:rFonts w:ascii="Century Gothic" w:hAnsi="Century Gothic"/>
          <w:color w:val="000000" w:themeColor="text1"/>
          <w:sz w:val="24"/>
          <w:szCs w:val="24"/>
        </w:rPr>
        <w:t>biertos por defecto</w:t>
      </w:r>
      <w:r w:rsidR="00837E65" w:rsidRPr="000E696C">
        <w:rPr>
          <w:rFonts w:ascii="Century Gothic" w:hAnsi="Century Gothic"/>
          <w:color w:val="000000" w:themeColor="text1"/>
          <w:sz w:val="24"/>
          <w:szCs w:val="24"/>
        </w:rPr>
        <w:t>, a</w:t>
      </w:r>
      <w:r w:rsidRPr="000E696C">
        <w:rPr>
          <w:rFonts w:ascii="Century Gothic" w:hAnsi="Century Gothic"/>
          <w:color w:val="000000" w:themeColor="text1"/>
          <w:sz w:val="24"/>
          <w:szCs w:val="24"/>
        </w:rPr>
        <w:t>ctualizados y comprensibles</w:t>
      </w:r>
      <w:r w:rsidR="00837E65" w:rsidRPr="000E696C">
        <w:rPr>
          <w:rFonts w:ascii="Century Gothic" w:hAnsi="Century Gothic"/>
          <w:color w:val="000000" w:themeColor="text1"/>
          <w:sz w:val="24"/>
          <w:szCs w:val="24"/>
        </w:rPr>
        <w:t>, a</w:t>
      </w:r>
      <w:r w:rsidRPr="000E696C">
        <w:rPr>
          <w:rFonts w:ascii="Century Gothic" w:hAnsi="Century Gothic"/>
          <w:color w:val="000000" w:themeColor="text1"/>
          <w:sz w:val="24"/>
          <w:szCs w:val="24"/>
        </w:rPr>
        <w:t>ccesibles y usables</w:t>
      </w:r>
      <w:r w:rsidR="00837E65" w:rsidRPr="000E696C">
        <w:rPr>
          <w:rFonts w:ascii="Century Gothic" w:hAnsi="Century Gothic"/>
          <w:color w:val="000000" w:themeColor="text1"/>
          <w:sz w:val="24"/>
          <w:szCs w:val="24"/>
        </w:rPr>
        <w:t>, c</w:t>
      </w:r>
      <w:r w:rsidRPr="000E696C">
        <w:rPr>
          <w:rFonts w:ascii="Century Gothic" w:hAnsi="Century Gothic"/>
          <w:color w:val="000000" w:themeColor="text1"/>
          <w:sz w:val="24"/>
          <w:szCs w:val="24"/>
        </w:rPr>
        <w:t>omparables e interoperables</w:t>
      </w:r>
      <w:r w:rsidR="00837E65" w:rsidRPr="000E696C">
        <w:rPr>
          <w:rFonts w:ascii="Century Gothic" w:hAnsi="Century Gothic"/>
          <w:color w:val="000000" w:themeColor="text1"/>
          <w:sz w:val="24"/>
          <w:szCs w:val="24"/>
        </w:rPr>
        <w:t>, d</w:t>
      </w:r>
      <w:r w:rsidRPr="000E696C">
        <w:rPr>
          <w:rFonts w:ascii="Century Gothic" w:hAnsi="Century Gothic"/>
          <w:color w:val="000000" w:themeColor="text1"/>
          <w:sz w:val="24"/>
          <w:szCs w:val="24"/>
        </w:rPr>
        <w:t>irigidos a fortalecer la gobernanza y el empoderamiento ciudadano</w:t>
      </w:r>
      <w:r w:rsidR="00837E65" w:rsidRPr="000E696C">
        <w:rPr>
          <w:rFonts w:ascii="Century Gothic" w:hAnsi="Century Gothic"/>
          <w:color w:val="000000" w:themeColor="text1"/>
          <w:sz w:val="24"/>
          <w:szCs w:val="24"/>
        </w:rPr>
        <w:t>, d</w:t>
      </w:r>
      <w:r w:rsidRPr="000E696C">
        <w:rPr>
          <w:rFonts w:ascii="Century Gothic" w:hAnsi="Century Gothic"/>
          <w:color w:val="000000" w:themeColor="text1"/>
          <w:sz w:val="24"/>
          <w:szCs w:val="24"/>
        </w:rPr>
        <w:t xml:space="preserve">irigidos a la promoción del desarrollo inclusivo y la innovación pública. </w:t>
      </w:r>
      <w:sdt>
        <w:sdtPr>
          <w:rPr>
            <w:color w:val="000000" w:themeColor="text1"/>
          </w:rPr>
          <w:id w:val="2048412428"/>
          <w:citation/>
        </w:sdtPr>
        <w:sdtContent>
          <w:r w:rsidRPr="000E696C">
            <w:rPr>
              <w:rFonts w:ascii="Century Gothic" w:hAnsi="Century Gothic"/>
              <w:color w:val="000000" w:themeColor="text1"/>
              <w:sz w:val="24"/>
              <w:szCs w:val="24"/>
            </w:rPr>
            <w:fldChar w:fldCharType="begin"/>
          </w:r>
          <w:r w:rsidRPr="000E696C">
            <w:rPr>
              <w:rFonts w:ascii="Century Gothic" w:hAnsi="Century Gothic"/>
              <w:color w:val="000000" w:themeColor="text1"/>
              <w:sz w:val="24"/>
              <w:szCs w:val="24"/>
            </w:rPr>
            <w:instrText xml:space="preserve"> CITATION ODC15 \l 5130 </w:instrText>
          </w:r>
          <w:r w:rsidRPr="000E696C">
            <w:rPr>
              <w:rFonts w:ascii="Century Gothic" w:hAnsi="Century Gothic"/>
              <w:color w:val="000000" w:themeColor="text1"/>
              <w:sz w:val="24"/>
              <w:szCs w:val="24"/>
            </w:rPr>
            <w:fldChar w:fldCharType="separate"/>
          </w:r>
          <w:r w:rsidRPr="000E696C">
            <w:rPr>
              <w:rFonts w:ascii="Century Gothic" w:hAnsi="Century Gothic"/>
              <w:noProof/>
              <w:color w:val="000000" w:themeColor="text1"/>
              <w:sz w:val="24"/>
              <w:szCs w:val="24"/>
            </w:rPr>
            <w:t>(ODC, 2015)</w:t>
          </w:r>
          <w:r w:rsidRPr="000E696C">
            <w:rPr>
              <w:rFonts w:ascii="Century Gothic" w:hAnsi="Century Gothic"/>
              <w:color w:val="000000" w:themeColor="text1"/>
              <w:sz w:val="24"/>
              <w:szCs w:val="24"/>
            </w:rPr>
            <w:fldChar w:fldCharType="end"/>
          </w:r>
        </w:sdtContent>
      </w:sdt>
    </w:p>
    <w:p w14:paraId="79AE0222" w14:textId="77777777" w:rsidR="008B0434" w:rsidRPr="000E696C" w:rsidRDefault="008B0434" w:rsidP="00C06230">
      <w:pPr>
        <w:ind w:left="360" w:firstLine="345"/>
        <w:jc w:val="both"/>
        <w:rPr>
          <w:rFonts w:ascii="Century Gothic" w:hAnsi="Century Gothic"/>
          <w:b/>
          <w:bCs/>
          <w:iCs/>
          <w:color w:val="000000" w:themeColor="text1"/>
          <w:sz w:val="24"/>
          <w:szCs w:val="24"/>
        </w:rPr>
      </w:pPr>
    </w:p>
    <w:p w14:paraId="5CC27E9F" w14:textId="26AABABC" w:rsidR="008B0434" w:rsidRPr="000E696C" w:rsidRDefault="008B0434" w:rsidP="00F050EC">
      <w:pPr>
        <w:ind w:firstLine="720"/>
        <w:jc w:val="both"/>
        <w:rPr>
          <w:rFonts w:ascii="Century Gothic" w:hAnsi="Century Gothic"/>
          <w:b/>
          <w:bCs/>
          <w:iCs/>
          <w:color w:val="000000" w:themeColor="text1"/>
          <w:sz w:val="24"/>
          <w:szCs w:val="24"/>
        </w:rPr>
      </w:pPr>
      <w:r w:rsidRPr="000E696C">
        <w:rPr>
          <w:rFonts w:ascii="Century Gothic" w:hAnsi="Century Gothic"/>
          <w:b/>
          <w:bCs/>
          <w:iCs/>
          <w:color w:val="000000" w:themeColor="text1"/>
          <w:sz w:val="24"/>
          <w:szCs w:val="24"/>
        </w:rPr>
        <w:t>Carta Iberoamericana de Gobierno Abierto</w:t>
      </w:r>
      <w:r w:rsidR="00837E65" w:rsidRPr="000E696C">
        <w:rPr>
          <w:rFonts w:ascii="Century Gothic" w:hAnsi="Century Gothic"/>
          <w:b/>
          <w:bCs/>
          <w:iCs/>
          <w:color w:val="000000" w:themeColor="text1"/>
          <w:sz w:val="24"/>
          <w:szCs w:val="24"/>
        </w:rPr>
        <w:t xml:space="preserve">: </w:t>
      </w:r>
      <w:r w:rsidRPr="000E696C">
        <w:rPr>
          <w:rFonts w:ascii="Century Gothic" w:hAnsi="Century Gothic"/>
          <w:color w:val="000000" w:themeColor="text1"/>
          <w:sz w:val="24"/>
          <w:szCs w:val="24"/>
        </w:rPr>
        <w:t xml:space="preserve">Reconoce la importancia de articular acciones en materia de Parlamento Abierto, Justicia Abierta, Gobiernos Sub-nacionales y Municipios Abiertos, la incorporación del paradigma de Gobierno Abierto en otros sectores y poblaciones de la sociedad y la incorporación de otros Poderes que según el contexto de cada país puede ser el Poder Ciudadano o el Órgano Rector en materia electoral. </w:t>
      </w:r>
      <w:sdt>
        <w:sdtPr>
          <w:rPr>
            <w:rFonts w:ascii="Century Gothic" w:hAnsi="Century Gothic"/>
            <w:color w:val="000000" w:themeColor="text1"/>
            <w:sz w:val="24"/>
            <w:szCs w:val="24"/>
          </w:rPr>
          <w:id w:val="-131411456"/>
          <w:citation/>
        </w:sdtPr>
        <w:sdtContent>
          <w:r w:rsidRPr="000E696C">
            <w:rPr>
              <w:rFonts w:ascii="Century Gothic" w:hAnsi="Century Gothic"/>
              <w:color w:val="000000" w:themeColor="text1"/>
              <w:sz w:val="24"/>
              <w:szCs w:val="24"/>
            </w:rPr>
            <w:fldChar w:fldCharType="begin"/>
          </w:r>
          <w:r w:rsidRPr="000E696C">
            <w:rPr>
              <w:rFonts w:ascii="Century Gothic" w:hAnsi="Century Gothic"/>
              <w:color w:val="000000" w:themeColor="text1"/>
              <w:sz w:val="24"/>
              <w:szCs w:val="24"/>
              <w:lang w:val="es-CR"/>
            </w:rPr>
            <w:instrText xml:space="preserve"> CITATION CLA16 \l 5130 </w:instrText>
          </w:r>
          <w:r w:rsidRPr="000E696C">
            <w:rPr>
              <w:rFonts w:ascii="Century Gothic" w:hAnsi="Century Gothic"/>
              <w:color w:val="000000" w:themeColor="text1"/>
              <w:sz w:val="24"/>
              <w:szCs w:val="24"/>
            </w:rPr>
            <w:fldChar w:fldCharType="separate"/>
          </w:r>
          <w:r w:rsidRPr="000E696C">
            <w:rPr>
              <w:rFonts w:ascii="Century Gothic" w:hAnsi="Century Gothic"/>
              <w:noProof/>
              <w:color w:val="000000" w:themeColor="text1"/>
              <w:sz w:val="24"/>
              <w:szCs w:val="24"/>
              <w:lang w:val="es-CR"/>
            </w:rPr>
            <w:t>(CLAD, 2016)</w:t>
          </w:r>
          <w:r w:rsidRPr="000E696C">
            <w:rPr>
              <w:rFonts w:ascii="Century Gothic" w:hAnsi="Century Gothic"/>
              <w:color w:val="000000" w:themeColor="text1"/>
              <w:sz w:val="24"/>
              <w:szCs w:val="24"/>
            </w:rPr>
            <w:fldChar w:fldCharType="end"/>
          </w:r>
        </w:sdtContent>
      </w:sdt>
      <w:r w:rsidR="00837E65" w:rsidRPr="000E696C">
        <w:rPr>
          <w:rFonts w:ascii="Century Gothic" w:hAnsi="Century Gothic"/>
          <w:b/>
          <w:bCs/>
          <w:iCs/>
          <w:color w:val="000000" w:themeColor="text1"/>
          <w:sz w:val="24"/>
          <w:szCs w:val="24"/>
        </w:rPr>
        <w:t xml:space="preserve">. </w:t>
      </w:r>
      <w:r w:rsidRPr="000E696C">
        <w:rPr>
          <w:rFonts w:ascii="Century Gothic" w:hAnsi="Century Gothic"/>
          <w:color w:val="000000" w:themeColor="text1"/>
          <w:sz w:val="24"/>
          <w:szCs w:val="24"/>
        </w:rPr>
        <w:t>Sus principales conclusiones van en la línea de adoptar las políticas de gobierno abierto como políticas de Estado para garantizar su integralidad, sostenibilidad y transversalidad, que se debe entender como un proceso de transformación en la cultura institucional, que se deben generar procesos de sensibilización y generación de capacidades para lograr una apropiación ciudadana, para lograr el éxito debe trabajarse de manera constante y colaborativa.</w:t>
      </w:r>
    </w:p>
    <w:p w14:paraId="2C807EC4" w14:textId="77777777" w:rsidR="008B0434" w:rsidRPr="000E696C" w:rsidRDefault="008B0434" w:rsidP="00C06230">
      <w:pPr>
        <w:jc w:val="both"/>
        <w:rPr>
          <w:rFonts w:ascii="Century Gothic" w:hAnsi="Century Gothic"/>
          <w:color w:val="000000" w:themeColor="text1"/>
          <w:sz w:val="24"/>
          <w:szCs w:val="24"/>
        </w:rPr>
      </w:pPr>
    </w:p>
    <w:p w14:paraId="6C3ED09D" w14:textId="07E856CE" w:rsidR="008B0434" w:rsidRPr="000E696C" w:rsidRDefault="008B0434" w:rsidP="00F050EC">
      <w:pPr>
        <w:ind w:firstLine="720"/>
        <w:jc w:val="both"/>
        <w:rPr>
          <w:rFonts w:ascii="Century Gothic" w:hAnsi="Century Gothic"/>
          <w:i/>
          <w:color w:val="000000" w:themeColor="text1"/>
          <w:sz w:val="24"/>
          <w:szCs w:val="24"/>
        </w:rPr>
      </w:pPr>
      <w:r w:rsidRPr="000E696C">
        <w:rPr>
          <w:rFonts w:ascii="Century Gothic" w:hAnsi="Century Gothic"/>
          <w:b/>
          <w:bCs/>
          <w:iCs/>
          <w:color w:val="000000" w:themeColor="text1"/>
          <w:sz w:val="24"/>
          <w:szCs w:val="24"/>
        </w:rPr>
        <w:lastRenderedPageBreak/>
        <w:t xml:space="preserve">Red de </w:t>
      </w:r>
      <w:r w:rsidR="00F050EC" w:rsidRPr="000E696C">
        <w:rPr>
          <w:rFonts w:ascii="Century Gothic" w:hAnsi="Century Gothic"/>
          <w:b/>
          <w:bCs/>
          <w:iCs/>
          <w:color w:val="000000" w:themeColor="text1"/>
          <w:sz w:val="24"/>
          <w:szCs w:val="24"/>
        </w:rPr>
        <w:t>G</w:t>
      </w:r>
      <w:r w:rsidRPr="000E696C">
        <w:rPr>
          <w:rFonts w:ascii="Century Gothic" w:hAnsi="Century Gothic"/>
          <w:b/>
          <w:bCs/>
          <w:iCs/>
          <w:color w:val="000000" w:themeColor="text1"/>
          <w:sz w:val="24"/>
          <w:szCs w:val="24"/>
        </w:rPr>
        <w:t xml:space="preserve">obierno </w:t>
      </w:r>
      <w:r w:rsidR="00F050EC" w:rsidRPr="000E696C">
        <w:rPr>
          <w:rFonts w:ascii="Century Gothic" w:hAnsi="Century Gothic"/>
          <w:b/>
          <w:bCs/>
          <w:iCs/>
          <w:color w:val="000000" w:themeColor="text1"/>
          <w:sz w:val="24"/>
          <w:szCs w:val="24"/>
        </w:rPr>
        <w:t>E</w:t>
      </w:r>
      <w:r w:rsidRPr="000E696C">
        <w:rPr>
          <w:rFonts w:ascii="Century Gothic" w:hAnsi="Century Gothic"/>
          <w:b/>
          <w:bCs/>
          <w:iCs/>
          <w:color w:val="000000" w:themeColor="text1"/>
          <w:sz w:val="24"/>
          <w:szCs w:val="24"/>
        </w:rPr>
        <w:t>lectrónico de América Latina y El Caribe</w:t>
      </w:r>
      <w:r w:rsidR="00254218" w:rsidRPr="000E696C">
        <w:rPr>
          <w:rFonts w:ascii="Century Gothic" w:hAnsi="Century Gothic"/>
          <w:i/>
          <w:color w:val="000000" w:themeColor="text1"/>
          <w:sz w:val="24"/>
          <w:szCs w:val="24"/>
        </w:rPr>
        <w:t xml:space="preserve">: </w:t>
      </w:r>
      <w:r w:rsidRPr="000E696C">
        <w:rPr>
          <w:rFonts w:ascii="Century Gothic" w:hAnsi="Century Gothic"/>
          <w:color w:val="000000" w:themeColor="text1"/>
          <w:sz w:val="24"/>
          <w:szCs w:val="24"/>
        </w:rPr>
        <w:t xml:space="preserve">La </w:t>
      </w:r>
      <w:proofErr w:type="spellStart"/>
      <w:r w:rsidRPr="000E696C">
        <w:rPr>
          <w:rFonts w:ascii="Century Gothic" w:hAnsi="Century Gothic"/>
          <w:color w:val="000000" w:themeColor="text1"/>
          <w:sz w:val="24"/>
          <w:szCs w:val="24"/>
        </w:rPr>
        <w:t>RedGEALC</w:t>
      </w:r>
      <w:proofErr w:type="spellEnd"/>
      <w:r w:rsidRPr="000E696C">
        <w:rPr>
          <w:rStyle w:val="Refdenotaalpie"/>
          <w:rFonts w:ascii="Century Gothic" w:hAnsi="Century Gothic"/>
          <w:color w:val="000000" w:themeColor="text1"/>
          <w:sz w:val="24"/>
          <w:szCs w:val="24"/>
        </w:rPr>
        <w:footnoteReference w:id="20"/>
      </w:r>
      <w:r w:rsidRPr="000E696C">
        <w:rPr>
          <w:rFonts w:ascii="Century Gothic" w:hAnsi="Century Gothic"/>
          <w:color w:val="000000" w:themeColor="text1"/>
          <w:sz w:val="24"/>
          <w:szCs w:val="24"/>
        </w:rPr>
        <w:t>, logra reunir a las autoridades en materia de gobierno electrónico de la región,</w:t>
      </w:r>
      <w:r w:rsidR="00DB0BBE" w:rsidRPr="000E696C">
        <w:rPr>
          <w:rFonts w:ascii="Century Gothic" w:hAnsi="Century Gothic"/>
          <w:color w:val="000000" w:themeColor="text1"/>
          <w:sz w:val="24"/>
          <w:szCs w:val="24"/>
        </w:rPr>
        <w:t xml:space="preserve"> e</w:t>
      </w:r>
      <w:r w:rsidRPr="000E696C">
        <w:rPr>
          <w:rFonts w:ascii="Century Gothic" w:hAnsi="Century Gothic"/>
          <w:color w:val="000000" w:themeColor="text1"/>
          <w:sz w:val="24"/>
          <w:szCs w:val="24"/>
        </w:rPr>
        <w:t>ntre sus ejes de trabajo están los datos abiertos, el fortalecimiento de los sistemas de compras públicas y la innovación, potenciando las tendencias internacionales en América Latina y el Caribe. Una de las agendas que han acompañado ha sido la de contrataciones abiertas, que está enfocada en la generación de data en formato abierto para promover la fiscalización ciudadana y la toma de decisiones eficientes en materia de compras públicas.</w:t>
      </w:r>
    </w:p>
    <w:p w14:paraId="7218C512" w14:textId="77777777" w:rsidR="00720460" w:rsidRPr="000E696C" w:rsidRDefault="00720460" w:rsidP="00720460">
      <w:pPr>
        <w:jc w:val="both"/>
        <w:textAlignment w:val="baseline"/>
        <w:rPr>
          <w:rFonts w:ascii="Century Gothic" w:eastAsia="Times New Roman" w:hAnsi="Century Gothic" w:cs="Open Sans"/>
          <w:b/>
          <w:bCs/>
          <w:color w:val="000000" w:themeColor="text1"/>
          <w:sz w:val="24"/>
          <w:szCs w:val="24"/>
          <w:lang w:val="es-CR"/>
        </w:rPr>
      </w:pPr>
    </w:p>
    <w:p w14:paraId="4E4D11DE" w14:textId="5AEA6CB1" w:rsidR="00F050EC" w:rsidRPr="000E696C" w:rsidRDefault="00DB0BBE" w:rsidP="00F050EC">
      <w:pPr>
        <w:ind w:firstLine="720"/>
        <w:jc w:val="both"/>
        <w:rPr>
          <w:rFonts w:ascii="Century Gothic" w:eastAsia="Times New Roman" w:hAnsi="Century Gothic" w:cs="Times New Roman"/>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Alianza de Contrataciones Abiertas (OCP</w:t>
      </w:r>
      <w:r w:rsidR="00BD37D5">
        <w:rPr>
          <w:rFonts w:ascii="Century Gothic" w:eastAsia="Times New Roman" w:hAnsi="Century Gothic" w:cs="Open Sans"/>
          <w:b/>
          <w:bCs/>
          <w:color w:val="000000" w:themeColor="text1"/>
          <w:sz w:val="24"/>
          <w:szCs w:val="24"/>
          <w:lang w:val="es-CR"/>
        </w:rPr>
        <w:t>,</w:t>
      </w:r>
      <w:r w:rsidRPr="000E696C">
        <w:rPr>
          <w:rFonts w:ascii="Century Gothic" w:eastAsia="Times New Roman" w:hAnsi="Century Gothic" w:cs="Open Sans"/>
          <w:b/>
          <w:bCs/>
          <w:color w:val="000000" w:themeColor="text1"/>
          <w:sz w:val="24"/>
          <w:szCs w:val="24"/>
          <w:lang w:val="es-CR"/>
        </w:rPr>
        <w:t xml:space="preserve"> por sus siglas en inglés): </w:t>
      </w:r>
      <w:r w:rsidR="00F050EC" w:rsidRPr="000E696C">
        <w:rPr>
          <w:rFonts w:ascii="Century Gothic" w:eastAsia="Times New Roman" w:hAnsi="Century Gothic" w:cs="Times New Roman"/>
          <w:color w:val="000000" w:themeColor="text1"/>
          <w:sz w:val="24"/>
          <w:szCs w:val="24"/>
          <w:shd w:val="clear" w:color="auto" w:fill="FFFFFF"/>
          <w:lang w:val="es-CR"/>
        </w:rPr>
        <w:t>Es una colaboración que abre espacios de diálogo entre gobiernos, empresas, la sociedad civil y especialistas en tecnología para transparentar y transformar la contratación pública en todo el mundo. Combi</w:t>
      </w:r>
      <w:r w:rsidR="00DC68EE" w:rsidRPr="000E696C">
        <w:rPr>
          <w:rFonts w:ascii="Century Gothic" w:eastAsia="Times New Roman" w:hAnsi="Century Gothic" w:cs="Times New Roman"/>
          <w:color w:val="000000" w:themeColor="text1"/>
          <w:sz w:val="24"/>
          <w:szCs w:val="24"/>
          <w:shd w:val="clear" w:color="auto" w:fill="FFFFFF"/>
          <w:lang w:val="es-CR"/>
        </w:rPr>
        <w:t>na</w:t>
      </w:r>
      <w:r w:rsidR="00F050EC" w:rsidRPr="000E696C">
        <w:rPr>
          <w:rFonts w:ascii="Century Gothic" w:eastAsia="Times New Roman" w:hAnsi="Century Gothic" w:cs="Times New Roman"/>
          <w:color w:val="000000" w:themeColor="text1"/>
          <w:sz w:val="24"/>
          <w:szCs w:val="24"/>
          <w:shd w:val="clear" w:color="auto" w:fill="FFFFFF"/>
          <w:lang w:val="es-CR"/>
        </w:rPr>
        <w:t xml:space="preserve"> los datos abiertos y el gobierno abierto para asegurar</w:t>
      </w:r>
      <w:r w:rsidR="00DC68EE" w:rsidRPr="000E696C">
        <w:rPr>
          <w:rFonts w:ascii="Century Gothic" w:eastAsia="Times New Roman" w:hAnsi="Century Gothic" w:cs="Times New Roman"/>
          <w:color w:val="000000" w:themeColor="text1"/>
          <w:sz w:val="24"/>
          <w:szCs w:val="24"/>
          <w:shd w:val="clear" w:color="auto" w:fill="FFFFFF"/>
          <w:lang w:val="es-CR"/>
        </w:rPr>
        <w:t>se</w:t>
      </w:r>
      <w:r w:rsidR="00F050EC" w:rsidRPr="000E696C">
        <w:rPr>
          <w:rFonts w:ascii="Century Gothic" w:eastAsia="Times New Roman" w:hAnsi="Century Gothic" w:cs="Times New Roman"/>
          <w:color w:val="000000" w:themeColor="text1"/>
          <w:sz w:val="24"/>
          <w:szCs w:val="24"/>
          <w:shd w:val="clear" w:color="auto" w:fill="FFFFFF"/>
          <w:lang w:val="es-CR"/>
        </w:rPr>
        <w:t xml:space="preserve"> de que los fondos públicos se empleen de manera abierta, justa y eficaz.</w:t>
      </w:r>
      <w:r w:rsidR="00D921C1" w:rsidRPr="000E696C">
        <w:rPr>
          <w:rFonts w:ascii="Century Gothic" w:eastAsia="Times New Roman" w:hAnsi="Century Gothic" w:cs="Times New Roman"/>
          <w:color w:val="000000" w:themeColor="text1"/>
          <w:sz w:val="24"/>
          <w:szCs w:val="24"/>
          <w:shd w:val="clear" w:color="auto" w:fill="FFFFFF"/>
          <w:lang w:val="es-CR"/>
        </w:rPr>
        <w:t xml:space="preserve"> Su estándar inspira parte de los conjuntos de datos que el PIDA sugiere deben ser transparentados en formato abierto. Panamá ya ha implementado acciones en colaboración con OCP.</w:t>
      </w:r>
      <w:r w:rsidR="00F050EC" w:rsidRPr="000E696C">
        <w:rPr>
          <w:rFonts w:ascii="Century Gothic" w:eastAsia="Times New Roman" w:hAnsi="Century Gothic" w:cs="Times New Roman"/>
          <w:color w:val="000000" w:themeColor="text1"/>
          <w:sz w:val="24"/>
          <w:szCs w:val="24"/>
          <w:shd w:val="clear" w:color="auto" w:fill="FFFFFF"/>
          <w:lang w:val="es-CR"/>
        </w:rPr>
        <w:t xml:space="preserve"> </w:t>
      </w:r>
      <w:r w:rsidR="00DC68EE" w:rsidRPr="000E696C">
        <w:rPr>
          <w:rStyle w:val="Refdenotaalpie"/>
          <w:rFonts w:ascii="Century Gothic" w:eastAsia="Times New Roman" w:hAnsi="Century Gothic" w:cs="Times New Roman"/>
          <w:color w:val="000000" w:themeColor="text1"/>
          <w:sz w:val="24"/>
          <w:szCs w:val="24"/>
          <w:shd w:val="clear" w:color="auto" w:fill="FFFFFF"/>
          <w:lang w:val="es-CR"/>
        </w:rPr>
        <w:footnoteReference w:id="21"/>
      </w:r>
    </w:p>
    <w:p w14:paraId="3D24566C" w14:textId="77777777" w:rsidR="00DB0BBE" w:rsidRPr="000E696C" w:rsidRDefault="00DB0BBE" w:rsidP="00F050EC">
      <w:pPr>
        <w:jc w:val="both"/>
        <w:textAlignment w:val="baseline"/>
        <w:rPr>
          <w:rFonts w:ascii="Century Gothic" w:eastAsia="Times New Roman" w:hAnsi="Century Gothic" w:cs="Open Sans"/>
          <w:b/>
          <w:bCs/>
          <w:color w:val="000000" w:themeColor="text1"/>
          <w:sz w:val="24"/>
          <w:szCs w:val="24"/>
          <w:lang w:val="es-CR"/>
        </w:rPr>
      </w:pPr>
    </w:p>
    <w:p w14:paraId="7E439DBB" w14:textId="07CD9317" w:rsidR="006460F2" w:rsidRPr="000E696C" w:rsidRDefault="000E378C" w:rsidP="006460F2">
      <w:pPr>
        <w:ind w:firstLine="720"/>
        <w:jc w:val="both"/>
        <w:rPr>
          <w:rFonts w:ascii="Century Gothic" w:eastAsia="Times New Roman" w:hAnsi="Century Gothic" w:cs="Times New Roman"/>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Iniciativa Latinoamericana para los Datos Abiertos</w:t>
      </w:r>
      <w:r w:rsidR="00C06230" w:rsidRPr="000E696C">
        <w:rPr>
          <w:rFonts w:ascii="Century Gothic" w:eastAsia="Times New Roman" w:hAnsi="Century Gothic" w:cs="Open Sans"/>
          <w:b/>
          <w:bCs/>
          <w:color w:val="000000" w:themeColor="text1"/>
          <w:sz w:val="24"/>
          <w:szCs w:val="24"/>
          <w:lang w:val="es-CR"/>
        </w:rPr>
        <w:t xml:space="preserve"> (ILDA)</w:t>
      </w:r>
      <w:r w:rsidR="00694B03" w:rsidRPr="000E696C">
        <w:rPr>
          <w:rStyle w:val="Refdenotaalpie"/>
          <w:rFonts w:ascii="Century Gothic" w:eastAsia="Times New Roman" w:hAnsi="Century Gothic" w:cs="Times New Roman"/>
          <w:color w:val="000000" w:themeColor="text1"/>
          <w:sz w:val="24"/>
          <w:szCs w:val="24"/>
          <w:lang w:val="es-CR"/>
        </w:rPr>
        <w:footnoteReference w:id="22"/>
      </w:r>
      <w:r w:rsidR="00694B03" w:rsidRPr="000E696C">
        <w:rPr>
          <w:rFonts w:ascii="Century Gothic" w:eastAsia="Times New Roman" w:hAnsi="Century Gothic" w:cs="Times New Roman"/>
          <w:color w:val="000000" w:themeColor="text1"/>
          <w:sz w:val="24"/>
          <w:szCs w:val="24"/>
          <w:lang w:val="es-CR"/>
        </w:rPr>
        <w:t xml:space="preserve"> </w:t>
      </w:r>
      <w:r w:rsidR="00C06230" w:rsidRPr="000E696C">
        <w:rPr>
          <w:rFonts w:ascii="Century Gothic" w:eastAsia="Times New Roman" w:hAnsi="Century Gothic" w:cs="Open Sans"/>
          <w:b/>
          <w:bCs/>
          <w:color w:val="000000" w:themeColor="text1"/>
          <w:sz w:val="24"/>
          <w:szCs w:val="24"/>
          <w:lang w:val="es-CR"/>
        </w:rPr>
        <w:t xml:space="preserve">: </w:t>
      </w:r>
      <w:r w:rsidR="006460F2" w:rsidRPr="000E696C">
        <w:rPr>
          <w:rFonts w:ascii="Century Gothic" w:eastAsia="Times New Roman" w:hAnsi="Century Gothic" w:cs="Times New Roman"/>
          <w:color w:val="000000" w:themeColor="text1"/>
          <w:sz w:val="24"/>
          <w:szCs w:val="24"/>
          <w:lang w:val="es-CR"/>
        </w:rPr>
        <w:t xml:space="preserve">Es una organización autónoma y ágil, </w:t>
      </w:r>
      <w:r w:rsidR="00BD37D5">
        <w:rPr>
          <w:rFonts w:ascii="Century Gothic" w:eastAsia="Times New Roman" w:hAnsi="Century Gothic" w:cs="Times New Roman"/>
          <w:color w:val="000000" w:themeColor="text1"/>
          <w:sz w:val="24"/>
          <w:szCs w:val="24"/>
          <w:lang w:val="es-CR"/>
        </w:rPr>
        <w:t>dedicada</w:t>
      </w:r>
      <w:r w:rsidR="006460F2" w:rsidRPr="000E696C">
        <w:rPr>
          <w:rFonts w:ascii="Century Gothic" w:eastAsia="Times New Roman" w:hAnsi="Century Gothic" w:cs="Times New Roman"/>
          <w:color w:val="000000" w:themeColor="text1"/>
          <w:sz w:val="24"/>
          <w:szCs w:val="24"/>
          <w:lang w:val="es-CR"/>
        </w:rPr>
        <w:t xml:space="preserve"> a explorar los efectos de la datificación en América Latina</w:t>
      </w:r>
      <w:r w:rsidR="00BD37D5">
        <w:rPr>
          <w:rFonts w:ascii="Century Gothic" w:eastAsia="Times New Roman" w:hAnsi="Century Gothic" w:cs="Times New Roman"/>
          <w:color w:val="000000" w:themeColor="text1"/>
          <w:sz w:val="24"/>
          <w:szCs w:val="24"/>
          <w:lang w:val="es-CR"/>
        </w:rPr>
        <w:t>, generando</w:t>
      </w:r>
      <w:r w:rsidR="006460F2" w:rsidRPr="000E696C">
        <w:rPr>
          <w:rFonts w:ascii="Century Gothic" w:eastAsia="Times New Roman" w:hAnsi="Century Gothic" w:cs="Times New Roman"/>
          <w:color w:val="000000" w:themeColor="text1"/>
          <w:sz w:val="24"/>
          <w:szCs w:val="24"/>
          <w:lang w:val="es-CR"/>
        </w:rPr>
        <w:t xml:space="preserve"> diálogos con múltiples sectores. Tuvo un rol de liderazgo en el proceso de construcción del PIDA.</w:t>
      </w:r>
    </w:p>
    <w:p w14:paraId="73ADA4DF" w14:textId="77777777" w:rsidR="00DB0BBE" w:rsidRPr="000E696C" w:rsidRDefault="00DB0BBE" w:rsidP="006460F2">
      <w:pPr>
        <w:jc w:val="both"/>
        <w:textAlignment w:val="baseline"/>
        <w:rPr>
          <w:rFonts w:ascii="Century Gothic" w:eastAsia="Times New Roman" w:hAnsi="Century Gothic" w:cs="Open Sans"/>
          <w:b/>
          <w:bCs/>
          <w:color w:val="000000" w:themeColor="text1"/>
          <w:sz w:val="24"/>
          <w:szCs w:val="24"/>
          <w:lang w:val="es-CR"/>
        </w:rPr>
      </w:pPr>
    </w:p>
    <w:p w14:paraId="1362E261" w14:textId="30A3EA61" w:rsidR="006460F2" w:rsidRPr="000E696C" w:rsidRDefault="006460F2" w:rsidP="00694B03">
      <w:pPr>
        <w:ind w:firstLine="720"/>
        <w:jc w:val="both"/>
        <w:rPr>
          <w:rFonts w:ascii="Century Gothic" w:eastAsia="Times New Roman" w:hAnsi="Century Gothic" w:cs="Times New Roman"/>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The Trust for the Americas</w:t>
      </w:r>
      <w:r w:rsidR="00694B03" w:rsidRPr="000E696C">
        <w:rPr>
          <w:rStyle w:val="Refdenotaalpie"/>
          <w:rFonts w:ascii="Century Gothic" w:eastAsia="Times New Roman" w:hAnsi="Century Gothic" w:cs="Open Sans"/>
          <w:b/>
          <w:bCs/>
          <w:color w:val="000000" w:themeColor="text1"/>
          <w:sz w:val="24"/>
          <w:szCs w:val="24"/>
          <w:lang w:val="es-CR"/>
        </w:rPr>
        <w:footnoteReference w:id="23"/>
      </w:r>
      <w:r w:rsidRPr="000E696C">
        <w:rPr>
          <w:rFonts w:ascii="Century Gothic" w:eastAsia="Times New Roman" w:hAnsi="Century Gothic" w:cs="Open Sans"/>
          <w:b/>
          <w:bCs/>
          <w:color w:val="000000" w:themeColor="text1"/>
          <w:sz w:val="24"/>
          <w:szCs w:val="24"/>
          <w:lang w:val="es-CR"/>
        </w:rPr>
        <w:t>:</w:t>
      </w:r>
      <w:r w:rsidR="00694B03" w:rsidRPr="000E696C">
        <w:rPr>
          <w:rFonts w:ascii="Century Gothic" w:eastAsia="Times New Roman" w:hAnsi="Century Gothic" w:cs="Open Sans"/>
          <w:b/>
          <w:bCs/>
          <w:color w:val="000000" w:themeColor="text1"/>
          <w:sz w:val="24"/>
          <w:szCs w:val="24"/>
          <w:lang w:val="es-CR"/>
        </w:rPr>
        <w:t xml:space="preserve"> </w:t>
      </w:r>
      <w:r w:rsidR="00694B03" w:rsidRPr="000E696C">
        <w:rPr>
          <w:rFonts w:ascii="Century Gothic" w:eastAsia="Times New Roman" w:hAnsi="Century Gothic" w:cs="Times New Roman"/>
          <w:color w:val="000000" w:themeColor="text1"/>
          <w:sz w:val="24"/>
          <w:szCs w:val="24"/>
          <w:shd w:val="clear" w:color="auto" w:fill="FFFFFF"/>
          <w:lang w:val="es-CR"/>
        </w:rPr>
        <w:t>es una entidad sin fines de lucro afiliada a la Organización de los Estados Americanos (OEA). Establecida en 1997 para promover alianzas público-privadas, The Trust ha implementado proyectos en 24 países y ha trabajado con más de 1,000 organizaciones en la región. Nuestras iniciativas buscan promover oportunidades educativas y económicas, así como la responsabilidad y transparencia del gobierno. Ha asumido un rol de liderazgo en la construcción, aprobación e implementación del PIDA en la región.</w:t>
      </w:r>
    </w:p>
    <w:p w14:paraId="5972051F" w14:textId="77777777" w:rsidR="006460F2" w:rsidRPr="000E696C" w:rsidRDefault="006460F2" w:rsidP="00F050EC">
      <w:pPr>
        <w:ind w:firstLine="720"/>
        <w:jc w:val="both"/>
        <w:textAlignment w:val="baseline"/>
        <w:rPr>
          <w:rFonts w:ascii="Century Gothic" w:eastAsia="Times New Roman" w:hAnsi="Century Gothic" w:cs="Open Sans"/>
          <w:b/>
          <w:bCs/>
          <w:color w:val="000000" w:themeColor="text1"/>
          <w:sz w:val="24"/>
          <w:szCs w:val="24"/>
          <w:lang w:val="es-CR"/>
        </w:rPr>
      </w:pPr>
    </w:p>
    <w:p w14:paraId="34E0053F" w14:textId="27BFDA85" w:rsidR="00A26CEB" w:rsidRPr="000E696C" w:rsidRDefault="00720460" w:rsidP="00D42994">
      <w:pPr>
        <w:ind w:firstLine="720"/>
        <w:jc w:val="both"/>
        <w:textAlignment w:val="baseline"/>
        <w:rPr>
          <w:rFonts w:ascii="Century Gothic" w:eastAsia="Times New Roman" w:hAnsi="Century Gothic" w:cs="Open San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Programa de las Naciones Unidas para el Desarrollo (PNUD)</w:t>
      </w:r>
      <w:r w:rsidR="006460F2" w:rsidRPr="000E696C">
        <w:rPr>
          <w:rFonts w:ascii="Century Gothic" w:eastAsia="Times New Roman" w:hAnsi="Century Gothic" w:cs="Open Sans"/>
          <w:b/>
          <w:bCs/>
          <w:color w:val="000000" w:themeColor="text1"/>
          <w:sz w:val="24"/>
          <w:szCs w:val="24"/>
          <w:lang w:val="es-CR"/>
        </w:rPr>
        <w:t xml:space="preserve">: </w:t>
      </w:r>
      <w:r w:rsidR="006460F2" w:rsidRPr="000E696C">
        <w:rPr>
          <w:rFonts w:ascii="Century Gothic" w:eastAsia="Times New Roman" w:hAnsi="Century Gothic" w:cs="Open Sans"/>
          <w:color w:val="000000" w:themeColor="text1"/>
          <w:sz w:val="24"/>
          <w:szCs w:val="24"/>
          <w:lang w:val="es-CR"/>
        </w:rPr>
        <w:t>Entre sus diversas agendas asociadas al acompañamiento de los Estados para cumplir con los diversos mandatos de Naciones Unidas y esencialmente de los Objetivos de Desarrollo Sostenible y la Agenda 2030</w:t>
      </w:r>
      <w:r w:rsidR="00D42994" w:rsidRPr="000E696C">
        <w:rPr>
          <w:rFonts w:ascii="Century Gothic" w:eastAsia="Times New Roman" w:hAnsi="Century Gothic" w:cs="Open Sans"/>
          <w:color w:val="000000" w:themeColor="text1"/>
          <w:sz w:val="24"/>
          <w:szCs w:val="24"/>
          <w:lang w:val="es-CR"/>
        </w:rPr>
        <w:t>, asumen además en Panamá un rol de observador de la Comisión Nacional de Gobierno Abierto.</w:t>
      </w:r>
    </w:p>
    <w:p w14:paraId="47697EA0" w14:textId="4D00DB0B" w:rsidR="00AF76F0" w:rsidRPr="000E696C" w:rsidRDefault="00AF76F0" w:rsidP="00D55217">
      <w:pPr>
        <w:pStyle w:val="Ttulo2"/>
        <w:jc w:val="both"/>
        <w:rPr>
          <w:rFonts w:ascii="Century Gothic" w:hAnsi="Century Gothic"/>
          <w:color w:val="000000" w:themeColor="text1"/>
        </w:rPr>
      </w:pPr>
      <w:bookmarkStart w:id="10" w:name="_Toc100251356"/>
      <w:r w:rsidRPr="000E696C">
        <w:rPr>
          <w:rFonts w:ascii="Century Gothic" w:hAnsi="Century Gothic"/>
          <w:color w:val="000000" w:themeColor="text1"/>
        </w:rPr>
        <w:lastRenderedPageBreak/>
        <w:t>Actores Institucionales</w:t>
      </w:r>
      <w:bookmarkEnd w:id="10"/>
    </w:p>
    <w:p w14:paraId="141DC69D" w14:textId="77777777" w:rsidR="009C315D" w:rsidRPr="000E696C" w:rsidRDefault="009C315D" w:rsidP="009C315D">
      <w:pPr>
        <w:jc w:val="both"/>
        <w:textAlignment w:val="baseline"/>
        <w:rPr>
          <w:rFonts w:ascii="Century Gothic" w:eastAsia="Times New Roman" w:hAnsi="Century Gothic" w:cs="Open Sans"/>
          <w:color w:val="000000" w:themeColor="text1"/>
          <w:sz w:val="24"/>
          <w:szCs w:val="24"/>
          <w:lang w:val="es-CR"/>
        </w:rPr>
      </w:pPr>
    </w:p>
    <w:p w14:paraId="6F47C3D6" w14:textId="25F4ECA1" w:rsidR="006245A9" w:rsidRPr="000E696C" w:rsidRDefault="006245A9" w:rsidP="00CD265A">
      <w:pPr>
        <w:ind w:firstLine="720"/>
        <w:jc w:val="both"/>
        <w:textAlignment w:val="baseline"/>
        <w:rPr>
          <w:rFonts w:ascii="Century Gothic" w:eastAsia="Times New Roman" w:hAnsi="Century Gothic" w:cs="Open Sans"/>
          <w:color w:val="000000" w:themeColor="text1"/>
          <w:sz w:val="24"/>
          <w:szCs w:val="24"/>
          <w:lang w:val="es-CR"/>
        </w:rPr>
      </w:pPr>
      <w:r w:rsidRPr="000E696C">
        <w:rPr>
          <w:rFonts w:ascii="Century Gothic" w:eastAsia="Times New Roman" w:hAnsi="Century Gothic" w:cs="Open Sans"/>
          <w:color w:val="000000" w:themeColor="text1"/>
          <w:sz w:val="24"/>
          <w:szCs w:val="24"/>
          <w:lang w:val="es-CR"/>
        </w:rPr>
        <w:t>A continuación se propone una clasificación de los actores institucion</w:t>
      </w:r>
      <w:r w:rsidR="00416B91" w:rsidRPr="000E696C">
        <w:rPr>
          <w:rFonts w:ascii="Century Gothic" w:eastAsia="Times New Roman" w:hAnsi="Century Gothic" w:cs="Open Sans"/>
          <w:color w:val="000000" w:themeColor="text1"/>
          <w:sz w:val="24"/>
          <w:szCs w:val="24"/>
          <w:lang w:val="es-CR"/>
        </w:rPr>
        <w:t>al</w:t>
      </w:r>
      <w:r w:rsidRPr="000E696C">
        <w:rPr>
          <w:rFonts w:ascii="Century Gothic" w:eastAsia="Times New Roman" w:hAnsi="Century Gothic" w:cs="Open Sans"/>
          <w:color w:val="000000" w:themeColor="text1"/>
          <w:sz w:val="24"/>
          <w:szCs w:val="24"/>
          <w:lang w:val="es-CR"/>
        </w:rPr>
        <w:t>es con competencias para la implementación de acciones dirigidas a la lucha contra la corrupción o a la producción, recolección, publicación y difusión de datos públicos en formato abierto.</w:t>
      </w:r>
    </w:p>
    <w:p w14:paraId="6A681CDD" w14:textId="37282925" w:rsidR="006245A9" w:rsidRPr="000E696C" w:rsidRDefault="006245A9" w:rsidP="00CD265A">
      <w:pPr>
        <w:ind w:firstLine="720"/>
        <w:jc w:val="both"/>
        <w:textAlignment w:val="baseline"/>
        <w:rPr>
          <w:rFonts w:ascii="Century Gothic" w:eastAsia="Times New Roman" w:hAnsi="Century Gothic" w:cs="Open Sans"/>
          <w:color w:val="000000" w:themeColor="text1"/>
          <w:sz w:val="24"/>
          <w:szCs w:val="24"/>
          <w:lang w:val="es-CR"/>
        </w:rPr>
      </w:pPr>
    </w:p>
    <w:p w14:paraId="1ABF48A2" w14:textId="28CF51C6" w:rsidR="006245A9" w:rsidRPr="000E696C" w:rsidRDefault="006245A9" w:rsidP="00416B91">
      <w:pPr>
        <w:pStyle w:val="Ttulo3"/>
        <w:rPr>
          <w:rFonts w:ascii="Century Gothic" w:hAnsi="Century Gothic"/>
          <w:color w:val="000000" w:themeColor="text1"/>
          <w:lang w:val="es-CR"/>
        </w:rPr>
      </w:pPr>
      <w:bookmarkStart w:id="11" w:name="_Toc100251357"/>
      <w:r w:rsidRPr="000E696C">
        <w:rPr>
          <w:rFonts w:ascii="Century Gothic" w:hAnsi="Century Gothic"/>
          <w:color w:val="000000" w:themeColor="text1"/>
          <w:lang w:val="es-CR"/>
        </w:rPr>
        <w:t xml:space="preserve">Instituciones rectoras </w:t>
      </w:r>
      <w:r w:rsidR="00FA610E" w:rsidRPr="000E696C">
        <w:rPr>
          <w:rFonts w:ascii="Century Gothic" w:hAnsi="Century Gothic"/>
          <w:color w:val="000000" w:themeColor="text1"/>
          <w:lang w:val="es-CR"/>
        </w:rPr>
        <w:t>o de coordinación en materia de datos abiertos</w:t>
      </w:r>
      <w:bookmarkEnd w:id="11"/>
    </w:p>
    <w:p w14:paraId="5807DD8B" w14:textId="77777777" w:rsidR="006245A9" w:rsidRPr="000E696C" w:rsidRDefault="006245A9" w:rsidP="006245A9">
      <w:pPr>
        <w:rPr>
          <w:color w:val="000000" w:themeColor="text1"/>
          <w:lang w:val="es-CR"/>
        </w:rPr>
      </w:pPr>
    </w:p>
    <w:p w14:paraId="460969B5" w14:textId="3B5721BF" w:rsidR="006245A9" w:rsidRPr="000E696C" w:rsidRDefault="006245A9" w:rsidP="00CD265A">
      <w:pPr>
        <w:ind w:firstLine="720"/>
        <w:jc w:val="both"/>
        <w:textAlignment w:val="baseline"/>
        <w:rPr>
          <w:rFonts w:ascii="Century Gothic" w:eastAsia="Times New Roman" w:hAnsi="Century Gothic" w:cs="Open Sans"/>
          <w:color w:val="000000" w:themeColor="text1"/>
          <w:sz w:val="24"/>
          <w:szCs w:val="24"/>
          <w:lang w:val="es-CR"/>
        </w:rPr>
      </w:pPr>
      <w:r w:rsidRPr="000E696C">
        <w:rPr>
          <w:rFonts w:ascii="Century Gothic" w:eastAsia="Times New Roman" w:hAnsi="Century Gothic" w:cs="Open Sans"/>
          <w:color w:val="000000" w:themeColor="text1"/>
          <w:sz w:val="24"/>
          <w:szCs w:val="24"/>
          <w:lang w:val="es-CR"/>
        </w:rPr>
        <w:t>Estas instituciones asumen un rol de coordinación o supervisión por la naturaleza de sus competencias</w:t>
      </w:r>
      <w:r w:rsidR="00F06FC2" w:rsidRPr="000E696C">
        <w:rPr>
          <w:rFonts w:ascii="Century Gothic" w:eastAsia="Times New Roman" w:hAnsi="Century Gothic" w:cs="Open Sans"/>
          <w:color w:val="000000" w:themeColor="text1"/>
          <w:sz w:val="24"/>
          <w:szCs w:val="24"/>
          <w:lang w:val="es-CR"/>
        </w:rPr>
        <w:t xml:space="preserve"> y que son de relevancia prioritaria para efectos de la implementación del PIDA</w:t>
      </w:r>
      <w:r w:rsidRPr="000E696C">
        <w:rPr>
          <w:rFonts w:ascii="Century Gothic" w:eastAsia="Times New Roman" w:hAnsi="Century Gothic" w:cs="Open Sans"/>
          <w:color w:val="000000" w:themeColor="text1"/>
          <w:sz w:val="24"/>
          <w:szCs w:val="24"/>
          <w:lang w:val="es-CR"/>
        </w:rPr>
        <w:t>:</w:t>
      </w:r>
    </w:p>
    <w:p w14:paraId="4484DDF3" w14:textId="77777777" w:rsidR="006245A9" w:rsidRPr="000E696C" w:rsidRDefault="006245A9" w:rsidP="00CD265A">
      <w:pPr>
        <w:ind w:firstLine="720"/>
        <w:jc w:val="both"/>
        <w:textAlignment w:val="baseline"/>
        <w:rPr>
          <w:rFonts w:ascii="Century Gothic" w:eastAsia="Times New Roman" w:hAnsi="Century Gothic" w:cs="Open Sans"/>
          <w:color w:val="000000" w:themeColor="text1"/>
          <w:sz w:val="24"/>
          <w:szCs w:val="24"/>
          <w:lang w:val="es-CR"/>
        </w:rPr>
      </w:pPr>
    </w:p>
    <w:p w14:paraId="2F4712E4" w14:textId="77777777" w:rsidR="006245A9" w:rsidRPr="000E696C" w:rsidRDefault="003D2409" w:rsidP="006245A9">
      <w:pPr>
        <w:pStyle w:val="Prrafodelista"/>
        <w:numPr>
          <w:ilvl w:val="0"/>
          <w:numId w:val="24"/>
        </w:numPr>
        <w:jc w:val="both"/>
        <w:textAlignment w:val="baseline"/>
        <w:rPr>
          <w:rFonts w:ascii="Century Gothic" w:eastAsia="Times New Roman" w:hAnsi="Century Gothic" w:cs="Open San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Autoridad Nacional de Transparencia y Acceso a la Información (ANTAI)</w:t>
      </w:r>
      <w:r w:rsidR="002438FD" w:rsidRPr="000E696C">
        <w:rPr>
          <w:rFonts w:ascii="Century Gothic" w:eastAsia="Times New Roman" w:hAnsi="Century Gothic" w:cs="Open Sans"/>
          <w:b/>
          <w:bCs/>
          <w:color w:val="000000" w:themeColor="text1"/>
          <w:sz w:val="24"/>
          <w:szCs w:val="24"/>
          <w:lang w:val="es-CR"/>
        </w:rPr>
        <w:t>:</w:t>
      </w:r>
      <w:r w:rsidR="00CD265A" w:rsidRPr="000E696C">
        <w:rPr>
          <w:rFonts w:ascii="Century Gothic" w:eastAsia="Times New Roman" w:hAnsi="Century Gothic" w:cs="Open Sans"/>
          <w:b/>
          <w:bCs/>
          <w:color w:val="000000" w:themeColor="text1"/>
          <w:sz w:val="24"/>
          <w:szCs w:val="24"/>
          <w:lang w:val="es-CR"/>
        </w:rPr>
        <w:t xml:space="preserve"> </w:t>
      </w:r>
      <w:r w:rsidR="00CD265A" w:rsidRPr="000E696C">
        <w:rPr>
          <w:rFonts w:ascii="Century Gothic" w:eastAsia="Times New Roman" w:hAnsi="Century Gothic" w:cs="Open Sans"/>
          <w:color w:val="000000" w:themeColor="text1"/>
          <w:sz w:val="24"/>
          <w:szCs w:val="24"/>
          <w:lang w:val="es-CR"/>
        </w:rPr>
        <w:t xml:space="preserve">Al tener el mandato por Ley de asumir la rectoría en materia de transparencia y acceso a la información, se convierte en un actor imprescindible de implementar cualquier política pública en materia de datos abiertos para combatir la corrupción. </w:t>
      </w:r>
    </w:p>
    <w:p w14:paraId="792C7BD6" w14:textId="77777777" w:rsidR="006245A9" w:rsidRPr="000E696C" w:rsidRDefault="006245A9" w:rsidP="006245A9">
      <w:pPr>
        <w:pStyle w:val="Prrafodelista"/>
        <w:ind w:left="1080"/>
        <w:jc w:val="both"/>
        <w:textAlignment w:val="baseline"/>
        <w:rPr>
          <w:rFonts w:ascii="Century Gothic" w:eastAsia="Times New Roman" w:hAnsi="Century Gothic" w:cs="Open Sans"/>
          <w:color w:val="000000" w:themeColor="text1"/>
          <w:sz w:val="24"/>
          <w:szCs w:val="24"/>
          <w:lang w:val="es-CR"/>
        </w:rPr>
      </w:pPr>
    </w:p>
    <w:p w14:paraId="4332D019" w14:textId="2E61849B" w:rsidR="003D2409" w:rsidRPr="000E696C" w:rsidRDefault="003D2409" w:rsidP="006245A9">
      <w:pPr>
        <w:pStyle w:val="Prrafodelista"/>
        <w:numPr>
          <w:ilvl w:val="0"/>
          <w:numId w:val="24"/>
        </w:numPr>
        <w:jc w:val="both"/>
        <w:textAlignment w:val="baseline"/>
        <w:rPr>
          <w:rFonts w:ascii="Century Gothic" w:eastAsia="Times New Roman" w:hAnsi="Century Gothic" w:cs="Open San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Autoridad Nacional para la Innovación Gubernamental (AIG)</w:t>
      </w:r>
      <w:r w:rsidR="006245A9" w:rsidRPr="000E696C">
        <w:rPr>
          <w:rFonts w:ascii="Century Gothic" w:eastAsia="Times New Roman" w:hAnsi="Century Gothic" w:cs="Open Sans"/>
          <w:b/>
          <w:bCs/>
          <w:color w:val="000000" w:themeColor="text1"/>
          <w:sz w:val="24"/>
          <w:szCs w:val="24"/>
          <w:lang w:val="es-CR"/>
        </w:rPr>
        <w:t xml:space="preserve">: </w:t>
      </w:r>
      <w:r w:rsidR="00F06FC2" w:rsidRPr="000E696C">
        <w:rPr>
          <w:rFonts w:ascii="Century Gothic" w:eastAsia="Times New Roman" w:hAnsi="Century Gothic" w:cs="Open Sans"/>
          <w:color w:val="000000" w:themeColor="text1"/>
          <w:sz w:val="24"/>
          <w:szCs w:val="24"/>
          <w:lang w:val="es-CR"/>
        </w:rPr>
        <w:t>Al tener la rectoría en materia de innovación gubernamental, debe asumir un rol prioritario en los asuntos relacionados con la creación e implementación de políticas públicas de datos abiertos.</w:t>
      </w:r>
    </w:p>
    <w:p w14:paraId="6FFF639E" w14:textId="339D84FB" w:rsidR="00BA5736" w:rsidRPr="000E696C" w:rsidRDefault="00BA5736" w:rsidP="009C315D">
      <w:pPr>
        <w:jc w:val="both"/>
        <w:textAlignment w:val="baseline"/>
        <w:rPr>
          <w:rFonts w:ascii="Century Gothic" w:eastAsia="Times New Roman" w:hAnsi="Century Gothic" w:cs="Open Sans"/>
          <w:b/>
          <w:bCs/>
          <w:color w:val="000000" w:themeColor="text1"/>
          <w:sz w:val="24"/>
          <w:szCs w:val="24"/>
          <w:lang w:val="es-CR"/>
        </w:rPr>
      </w:pPr>
    </w:p>
    <w:p w14:paraId="3D037045" w14:textId="3935D321" w:rsidR="00BA5736" w:rsidRPr="000E696C" w:rsidRDefault="00BA5736" w:rsidP="00F06FC2">
      <w:pPr>
        <w:pStyle w:val="Prrafodelista"/>
        <w:numPr>
          <w:ilvl w:val="0"/>
          <w:numId w:val="24"/>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Ministerio de la Presidencia</w:t>
      </w:r>
      <w:r w:rsidR="00F06FC2" w:rsidRPr="000E696C">
        <w:rPr>
          <w:rFonts w:ascii="Century Gothic" w:eastAsia="Times New Roman" w:hAnsi="Century Gothic" w:cs="Open Sans"/>
          <w:b/>
          <w:bCs/>
          <w:color w:val="000000" w:themeColor="text1"/>
          <w:sz w:val="24"/>
          <w:szCs w:val="24"/>
          <w:lang w:val="es-CR"/>
        </w:rPr>
        <w:t xml:space="preserve">: </w:t>
      </w:r>
      <w:r w:rsidR="00F06FC2" w:rsidRPr="000E696C">
        <w:rPr>
          <w:rFonts w:ascii="Century Gothic" w:eastAsia="Times New Roman" w:hAnsi="Century Gothic" w:cs="Open Sans"/>
          <w:color w:val="000000" w:themeColor="text1"/>
          <w:sz w:val="24"/>
          <w:szCs w:val="24"/>
          <w:lang w:val="es-CR"/>
        </w:rPr>
        <w:t>Por la naturaleza de su rol de coordinación política</w:t>
      </w:r>
      <w:r w:rsidR="00FA610E" w:rsidRPr="000E696C">
        <w:rPr>
          <w:rFonts w:ascii="Century Gothic" w:eastAsia="Times New Roman" w:hAnsi="Century Gothic" w:cs="Open Sans"/>
          <w:color w:val="000000" w:themeColor="text1"/>
          <w:sz w:val="24"/>
          <w:szCs w:val="24"/>
          <w:lang w:val="es-CR"/>
        </w:rPr>
        <w:t xml:space="preserve"> del Gabinete Gubernamental deben estar involucradas de manera directa en la construcción e implementación de políticas públicas e iniciativas asociadas a datos abiertos.</w:t>
      </w:r>
    </w:p>
    <w:p w14:paraId="27DDB710" w14:textId="77777777" w:rsidR="00FA610E" w:rsidRPr="000E696C" w:rsidRDefault="00FA610E" w:rsidP="00FA610E">
      <w:pPr>
        <w:pStyle w:val="Prrafodelista"/>
        <w:rPr>
          <w:rFonts w:ascii="Century Gothic" w:eastAsia="Times New Roman" w:hAnsi="Century Gothic" w:cs="Open Sans"/>
          <w:b/>
          <w:bCs/>
          <w:color w:val="000000" w:themeColor="text1"/>
          <w:sz w:val="24"/>
          <w:szCs w:val="24"/>
          <w:lang w:val="es-CR"/>
        </w:rPr>
      </w:pPr>
    </w:p>
    <w:p w14:paraId="60F165DD" w14:textId="6362F317" w:rsidR="00FA610E" w:rsidRPr="000E696C" w:rsidRDefault="00FA610E" w:rsidP="00FA610E">
      <w:pPr>
        <w:pStyle w:val="Prrafodelista"/>
        <w:numPr>
          <w:ilvl w:val="0"/>
          <w:numId w:val="24"/>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 xml:space="preserve">Dirección General de Contrataciones Públicas: </w:t>
      </w:r>
      <w:r w:rsidRPr="000E696C">
        <w:rPr>
          <w:rFonts w:ascii="Century Gothic" w:eastAsia="Times New Roman" w:hAnsi="Century Gothic" w:cs="Open Sans"/>
          <w:color w:val="000000" w:themeColor="text1"/>
          <w:sz w:val="24"/>
          <w:szCs w:val="24"/>
          <w:lang w:val="es-CR"/>
        </w:rPr>
        <w:t>Al ser el ente rector en la implementación de la Ley de Contrataciones Públicas y de la gestión operativa de la información y plataformas en esta área, para efectos del PIDA deben estar involucrados en el avance de apertura de datos en formato abierto y en este caso particular, se recomienda que estén estandarizados con el Open Contracting Data Standard de OCP</w:t>
      </w:r>
      <w:r w:rsidR="001D19D6" w:rsidRPr="000E696C">
        <w:rPr>
          <w:rStyle w:val="Refdenotaalpie"/>
          <w:rFonts w:ascii="Century Gothic" w:eastAsia="Times New Roman" w:hAnsi="Century Gothic" w:cs="Open Sans"/>
          <w:color w:val="000000" w:themeColor="text1"/>
          <w:sz w:val="24"/>
          <w:szCs w:val="24"/>
          <w:lang w:val="es-CR"/>
        </w:rPr>
        <w:footnoteReference w:id="24"/>
      </w:r>
      <w:r w:rsidRPr="000E696C">
        <w:rPr>
          <w:rFonts w:ascii="Century Gothic" w:eastAsia="Times New Roman" w:hAnsi="Century Gothic" w:cs="Open Sans"/>
          <w:color w:val="000000" w:themeColor="text1"/>
          <w:sz w:val="24"/>
          <w:szCs w:val="24"/>
          <w:lang w:val="es-CR"/>
        </w:rPr>
        <w:t>.</w:t>
      </w:r>
    </w:p>
    <w:p w14:paraId="03569A77" w14:textId="5923C167" w:rsidR="00300EF1" w:rsidRPr="000E696C" w:rsidRDefault="00FA610E" w:rsidP="00FA610E">
      <w:pPr>
        <w:pStyle w:val="Ttulo3"/>
        <w:rPr>
          <w:rFonts w:ascii="Century Gothic" w:hAnsi="Century Gothic"/>
          <w:color w:val="000000" w:themeColor="text1"/>
          <w:lang w:val="es-CR"/>
        </w:rPr>
      </w:pPr>
      <w:bookmarkStart w:id="12" w:name="_Toc100251358"/>
      <w:r w:rsidRPr="000E696C">
        <w:rPr>
          <w:rFonts w:ascii="Century Gothic" w:hAnsi="Century Gothic"/>
          <w:color w:val="000000" w:themeColor="text1"/>
          <w:lang w:val="es-CR"/>
        </w:rPr>
        <w:lastRenderedPageBreak/>
        <w:t xml:space="preserve">Instituciones </w:t>
      </w:r>
      <w:r w:rsidR="00E9698B" w:rsidRPr="000E696C">
        <w:rPr>
          <w:rFonts w:ascii="Century Gothic" w:hAnsi="Century Gothic"/>
          <w:color w:val="000000" w:themeColor="text1"/>
          <w:lang w:val="es-CR"/>
        </w:rPr>
        <w:t>rectoras o de coordinación en materia</w:t>
      </w:r>
      <w:r w:rsidRPr="000E696C">
        <w:rPr>
          <w:rFonts w:ascii="Century Gothic" w:hAnsi="Century Gothic"/>
          <w:color w:val="000000" w:themeColor="text1"/>
          <w:lang w:val="es-CR"/>
        </w:rPr>
        <w:t xml:space="preserve"> </w:t>
      </w:r>
      <w:r w:rsidR="00E9698B" w:rsidRPr="000E696C">
        <w:rPr>
          <w:rFonts w:ascii="Century Gothic" w:hAnsi="Century Gothic"/>
          <w:color w:val="000000" w:themeColor="text1"/>
          <w:lang w:val="es-CR"/>
        </w:rPr>
        <w:t>de</w:t>
      </w:r>
      <w:r w:rsidRPr="000E696C">
        <w:rPr>
          <w:rFonts w:ascii="Century Gothic" w:hAnsi="Century Gothic"/>
          <w:color w:val="000000" w:themeColor="text1"/>
          <w:lang w:val="es-CR"/>
        </w:rPr>
        <w:t xml:space="preserve"> la lucha contra la corrupción</w:t>
      </w:r>
      <w:bookmarkEnd w:id="12"/>
    </w:p>
    <w:p w14:paraId="576079C8" w14:textId="2B2CDCED" w:rsidR="00FA610E" w:rsidRPr="000E696C" w:rsidRDefault="00FA610E" w:rsidP="00FA610E">
      <w:pPr>
        <w:rPr>
          <w:color w:val="000000" w:themeColor="text1"/>
          <w:lang w:val="es-CR"/>
        </w:rPr>
      </w:pPr>
    </w:p>
    <w:p w14:paraId="73243FD2" w14:textId="53C2B237" w:rsidR="00FA610E" w:rsidRPr="000E696C" w:rsidRDefault="00FA610E" w:rsidP="00FA610E">
      <w:pPr>
        <w:jc w:val="both"/>
        <w:rPr>
          <w:rFonts w:ascii="Century Gothic" w:hAnsi="Century Gothic"/>
          <w:color w:val="000000" w:themeColor="text1"/>
          <w:sz w:val="24"/>
          <w:szCs w:val="24"/>
          <w:lang w:val="es-CR"/>
        </w:rPr>
      </w:pPr>
      <w:r w:rsidRPr="000E696C">
        <w:rPr>
          <w:rFonts w:ascii="Century Gothic" w:hAnsi="Century Gothic"/>
          <w:color w:val="000000" w:themeColor="text1"/>
          <w:sz w:val="24"/>
          <w:szCs w:val="24"/>
          <w:lang w:val="es-CR"/>
        </w:rPr>
        <w:tab/>
        <w:t>Estas instituciones</w:t>
      </w:r>
      <w:r w:rsidR="00FD5F2B" w:rsidRPr="000E696C">
        <w:rPr>
          <w:rFonts w:ascii="Century Gothic" w:hAnsi="Century Gothic"/>
          <w:color w:val="000000" w:themeColor="text1"/>
          <w:sz w:val="24"/>
          <w:szCs w:val="24"/>
          <w:lang w:val="es-CR"/>
        </w:rPr>
        <w:t xml:space="preserve"> </w:t>
      </w:r>
      <w:r w:rsidRPr="000E696C">
        <w:rPr>
          <w:rFonts w:ascii="Century Gothic" w:hAnsi="Century Gothic"/>
          <w:color w:val="000000" w:themeColor="text1"/>
          <w:sz w:val="24"/>
          <w:szCs w:val="24"/>
          <w:lang w:val="es-CR"/>
        </w:rPr>
        <w:t>tienen un rol mandatorio de asumir procesos de prevención, fiscalización, control y sanción en casos de corrupción</w:t>
      </w:r>
      <w:r w:rsidR="00FD5F2B" w:rsidRPr="000E696C">
        <w:rPr>
          <w:rFonts w:ascii="Century Gothic" w:hAnsi="Century Gothic"/>
          <w:color w:val="000000" w:themeColor="text1"/>
          <w:sz w:val="24"/>
          <w:szCs w:val="24"/>
          <w:lang w:val="es-CR"/>
        </w:rPr>
        <w:t>. Dichos roles son asignados por ley o por decreto, y por consiguiente se sugiere una estrecha coordinación con dichos actores para efectos de implementación del PIDA, ya que cuenta con la información más relevante y filtrada de manera que no se pone en riesgo data personal o confidencial. Entre dichas instituciones se reconocen:</w:t>
      </w:r>
    </w:p>
    <w:p w14:paraId="5F4B9DDD" w14:textId="77777777" w:rsidR="00FA610E" w:rsidRPr="000E696C" w:rsidRDefault="00FA610E" w:rsidP="00FA610E">
      <w:pPr>
        <w:rPr>
          <w:rFonts w:ascii="Century Gothic" w:hAnsi="Century Gothic"/>
          <w:color w:val="000000" w:themeColor="text1"/>
          <w:sz w:val="24"/>
          <w:szCs w:val="24"/>
          <w:lang w:val="es-CR"/>
        </w:rPr>
      </w:pPr>
    </w:p>
    <w:p w14:paraId="7EF5A8D2" w14:textId="41CF9C92" w:rsidR="00FD5F2B" w:rsidRPr="000E696C" w:rsidRDefault="00300EF1" w:rsidP="00FD5F2B">
      <w:pPr>
        <w:pStyle w:val="NormalWeb"/>
        <w:numPr>
          <w:ilvl w:val="0"/>
          <w:numId w:val="28"/>
        </w:numPr>
        <w:shd w:val="clear" w:color="auto" w:fill="FFFFFF"/>
        <w:spacing w:before="120" w:beforeAutospacing="0" w:after="120" w:afterAutospacing="0" w:line="276" w:lineRule="auto"/>
        <w:jc w:val="both"/>
        <w:rPr>
          <w:rFonts w:ascii="Century Gothic" w:hAnsi="Century Gothic"/>
          <w:color w:val="000000" w:themeColor="text1"/>
        </w:rPr>
      </w:pPr>
      <w:r w:rsidRPr="000E696C">
        <w:rPr>
          <w:rFonts w:ascii="Century Gothic" w:hAnsi="Century Gothic" w:cs="Open Sans"/>
          <w:b/>
          <w:bCs/>
          <w:color w:val="000000" w:themeColor="text1"/>
        </w:rPr>
        <w:t>Ministerio Público</w:t>
      </w:r>
      <w:r w:rsidR="00FD5F2B" w:rsidRPr="000E696C">
        <w:rPr>
          <w:rFonts w:ascii="Century Gothic" w:hAnsi="Century Gothic" w:cs="Open Sans"/>
          <w:b/>
          <w:bCs/>
          <w:color w:val="000000" w:themeColor="text1"/>
        </w:rPr>
        <w:t xml:space="preserve">: </w:t>
      </w:r>
      <w:r w:rsidR="00FD5F2B" w:rsidRPr="000E696C">
        <w:rPr>
          <w:rFonts w:ascii="Century Gothic" w:hAnsi="Century Gothic"/>
          <w:color w:val="000000" w:themeColor="text1"/>
        </w:rPr>
        <w:t>El</w:t>
      </w:r>
      <w:r w:rsidR="006241F2">
        <w:rPr>
          <w:rFonts w:ascii="Century Gothic" w:hAnsi="Century Gothic"/>
          <w:color w:val="000000" w:themeColor="text1"/>
        </w:rPr>
        <w:t xml:space="preserve"> </w:t>
      </w:r>
      <w:r w:rsidR="00FD5F2B" w:rsidRPr="000E696C">
        <w:rPr>
          <w:rFonts w:ascii="Century Gothic" w:hAnsi="Century Gothic"/>
          <w:color w:val="000000" w:themeColor="text1"/>
        </w:rPr>
        <w:t>Ministerio Público es un organismo autónomo y jerarquizado de</w:t>
      </w:r>
      <w:r w:rsidR="006241F2">
        <w:rPr>
          <w:rFonts w:ascii="Century Gothic" w:hAnsi="Century Gothic"/>
          <w:color w:val="000000" w:themeColor="text1"/>
        </w:rPr>
        <w:t xml:space="preserve"> </w:t>
      </w:r>
      <w:hyperlink r:id="rId9" w:tooltip="Panamá" w:history="1">
        <w:r w:rsidR="00FD5F2B" w:rsidRPr="000E696C">
          <w:rPr>
            <w:rStyle w:val="Hipervnculo"/>
            <w:rFonts w:ascii="Century Gothic" w:hAnsi="Century Gothic"/>
            <w:color w:val="000000" w:themeColor="text1"/>
            <w:u w:val="none"/>
          </w:rPr>
          <w:t>Panamá</w:t>
        </w:r>
      </w:hyperlink>
      <w:r w:rsidR="00FD5F2B" w:rsidRPr="000E696C">
        <w:rPr>
          <w:rFonts w:ascii="Century Gothic" w:hAnsi="Century Gothic"/>
          <w:color w:val="000000" w:themeColor="text1"/>
        </w:rPr>
        <w:t>, cuya función es dirigir en forma exclusiva la investigación de los hechos constitutivos de</w:t>
      </w:r>
      <w:r w:rsidR="006241F2">
        <w:rPr>
          <w:rFonts w:ascii="Century Gothic" w:hAnsi="Century Gothic"/>
          <w:color w:val="000000" w:themeColor="text1"/>
        </w:rPr>
        <w:t xml:space="preserve"> delito</w:t>
      </w:r>
      <w:r w:rsidR="00FD5F2B" w:rsidRPr="000E696C">
        <w:rPr>
          <w:rFonts w:ascii="Century Gothic" w:hAnsi="Century Gothic"/>
          <w:color w:val="000000" w:themeColor="text1"/>
        </w:rPr>
        <w:t>, los que determinen la participación punible y los que acrediten la inocencia del imputado y, en su caso, ejercer la</w:t>
      </w:r>
      <w:r w:rsidR="006241F2">
        <w:rPr>
          <w:rFonts w:ascii="Century Gothic" w:hAnsi="Century Gothic"/>
          <w:color w:val="000000" w:themeColor="text1"/>
        </w:rPr>
        <w:t xml:space="preserve"> </w:t>
      </w:r>
      <w:hyperlink r:id="rId10" w:tooltip="Acción penal pública" w:history="1">
        <w:r w:rsidR="00FD5F2B" w:rsidRPr="000E696C">
          <w:rPr>
            <w:rStyle w:val="Hipervnculo"/>
            <w:rFonts w:ascii="Century Gothic" w:hAnsi="Century Gothic"/>
            <w:color w:val="000000" w:themeColor="text1"/>
            <w:u w:val="none"/>
          </w:rPr>
          <w:t>acción penal pública</w:t>
        </w:r>
      </w:hyperlink>
      <w:r w:rsidR="006241F2">
        <w:rPr>
          <w:rFonts w:ascii="Century Gothic" w:hAnsi="Century Gothic"/>
          <w:color w:val="000000" w:themeColor="text1"/>
        </w:rPr>
        <w:t xml:space="preserve"> </w:t>
      </w:r>
      <w:r w:rsidR="00FD5F2B" w:rsidRPr="000E696C">
        <w:rPr>
          <w:rFonts w:ascii="Century Gothic" w:hAnsi="Century Gothic"/>
          <w:color w:val="000000" w:themeColor="text1"/>
        </w:rPr>
        <w:t>en la forma prevista por la ley.</w:t>
      </w:r>
    </w:p>
    <w:p w14:paraId="14B90E17" w14:textId="77777777" w:rsidR="00FD5F2B" w:rsidRPr="000E696C" w:rsidRDefault="00FD5F2B" w:rsidP="00FD5F2B">
      <w:pPr>
        <w:jc w:val="both"/>
        <w:textAlignment w:val="baseline"/>
        <w:rPr>
          <w:rFonts w:ascii="Century Gothic" w:eastAsia="Times New Roman" w:hAnsi="Century Gothic" w:cs="Open Sans"/>
          <w:b/>
          <w:bCs/>
          <w:color w:val="000000" w:themeColor="text1"/>
          <w:sz w:val="24"/>
          <w:szCs w:val="24"/>
          <w:lang w:val="es-CR"/>
        </w:rPr>
      </w:pPr>
    </w:p>
    <w:p w14:paraId="7354D627" w14:textId="0FAD39E8" w:rsidR="00FD5F2B" w:rsidRPr="000E696C" w:rsidRDefault="00300EF1" w:rsidP="00FD5F2B">
      <w:pPr>
        <w:pStyle w:val="Prrafodelista"/>
        <w:numPr>
          <w:ilvl w:val="0"/>
          <w:numId w:val="27"/>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Fiscalía General de Cuentas</w:t>
      </w:r>
      <w:r w:rsidR="00FD5F2B" w:rsidRPr="000E696C">
        <w:rPr>
          <w:rFonts w:ascii="Century Gothic" w:eastAsia="Times New Roman" w:hAnsi="Century Gothic" w:cs="Open Sans"/>
          <w:b/>
          <w:bCs/>
          <w:color w:val="000000" w:themeColor="text1"/>
          <w:sz w:val="24"/>
          <w:szCs w:val="24"/>
          <w:lang w:val="es-CR"/>
        </w:rPr>
        <w:t xml:space="preserve">: </w:t>
      </w:r>
      <w:r w:rsidR="00FD5F2B" w:rsidRPr="000E696C">
        <w:rPr>
          <w:rFonts w:ascii="Century Gothic" w:hAnsi="Century Gothic" w:cs="Times New Roman"/>
          <w:color w:val="000000" w:themeColor="text1"/>
          <w:sz w:val="24"/>
          <w:szCs w:val="24"/>
          <w:shd w:val="clear" w:color="auto" w:fill="FFFFFF"/>
        </w:rPr>
        <w:t>La</w:t>
      </w:r>
      <w:r w:rsidR="006241F2">
        <w:rPr>
          <w:rFonts w:ascii="Century Gothic" w:hAnsi="Century Gothic" w:cs="Times New Roman"/>
          <w:color w:val="000000" w:themeColor="text1"/>
          <w:sz w:val="24"/>
          <w:szCs w:val="24"/>
          <w:shd w:val="clear" w:color="auto" w:fill="FFFFFF"/>
        </w:rPr>
        <w:t xml:space="preserve"> </w:t>
      </w:r>
      <w:r w:rsidR="00FD5F2B" w:rsidRPr="000E696C">
        <w:rPr>
          <w:rFonts w:ascii="Century Gothic" w:hAnsi="Century Gothic" w:cs="Times New Roman"/>
          <w:color w:val="000000" w:themeColor="text1"/>
          <w:sz w:val="24"/>
          <w:szCs w:val="24"/>
          <w:shd w:val="clear" w:color="auto" w:fill="FFFFFF"/>
        </w:rPr>
        <w:t>Fiscalía de Cuentas</w:t>
      </w:r>
      <w:r w:rsidR="006241F2">
        <w:rPr>
          <w:rFonts w:ascii="Century Gothic" w:hAnsi="Century Gothic" w:cs="Times New Roman"/>
          <w:color w:val="000000" w:themeColor="text1"/>
          <w:sz w:val="24"/>
          <w:szCs w:val="24"/>
          <w:shd w:val="clear" w:color="auto" w:fill="FFFFFF"/>
        </w:rPr>
        <w:t xml:space="preserve"> </w:t>
      </w:r>
      <w:r w:rsidR="00FD5F2B" w:rsidRPr="000E696C">
        <w:rPr>
          <w:rFonts w:ascii="Century Gothic" w:hAnsi="Century Gothic" w:cs="Times New Roman"/>
          <w:color w:val="000000" w:themeColor="text1"/>
          <w:sz w:val="24"/>
          <w:szCs w:val="24"/>
          <w:shd w:val="clear" w:color="auto" w:fill="FFFFFF"/>
        </w:rPr>
        <w:t>es un ente de Derecho Público, creado mediante Ley 67 de 14 de noviembre de 2008, que tiene como función investigar las presuntas irregularidades contenidas en los reparos efectuados por la Contraloría General de la República en las</w:t>
      </w:r>
      <w:r w:rsidR="006241F2">
        <w:rPr>
          <w:rFonts w:ascii="Century Gothic" w:hAnsi="Century Gothic" w:cs="Times New Roman"/>
          <w:color w:val="000000" w:themeColor="text1"/>
          <w:sz w:val="24"/>
          <w:szCs w:val="24"/>
          <w:shd w:val="clear" w:color="auto" w:fill="FFFFFF"/>
        </w:rPr>
        <w:t xml:space="preserve"> </w:t>
      </w:r>
      <w:r w:rsidR="00FD5F2B" w:rsidRPr="000E696C">
        <w:rPr>
          <w:rFonts w:ascii="Century Gothic" w:hAnsi="Century Gothic" w:cs="Times New Roman"/>
          <w:color w:val="000000" w:themeColor="text1"/>
          <w:sz w:val="24"/>
          <w:szCs w:val="24"/>
          <w:shd w:val="clear" w:color="auto" w:fill="FFFFFF"/>
        </w:rPr>
        <w:t>cuentas</w:t>
      </w:r>
      <w:r w:rsidR="006241F2">
        <w:rPr>
          <w:rFonts w:ascii="Century Gothic" w:hAnsi="Century Gothic" w:cs="Times New Roman"/>
          <w:color w:val="000000" w:themeColor="text1"/>
          <w:sz w:val="24"/>
          <w:szCs w:val="24"/>
          <w:shd w:val="clear" w:color="auto" w:fill="FFFFFF"/>
        </w:rPr>
        <w:t xml:space="preserve"> </w:t>
      </w:r>
      <w:r w:rsidR="00FD5F2B" w:rsidRPr="000E696C">
        <w:rPr>
          <w:rFonts w:ascii="Century Gothic" w:hAnsi="Century Gothic" w:cs="Times New Roman"/>
          <w:color w:val="000000" w:themeColor="text1"/>
          <w:sz w:val="24"/>
          <w:szCs w:val="24"/>
          <w:shd w:val="clear" w:color="auto" w:fill="FFFFFF"/>
        </w:rPr>
        <w:t>de empleados y agentes de manejo, que afecten los fondos y es el organismo responsable de investigar las irregularidades que cometan los servidores públicos que lesionen el patrimonio del estado, en protección de la sociedad.</w:t>
      </w:r>
    </w:p>
    <w:p w14:paraId="15671A3B" w14:textId="77777777" w:rsidR="00FD5F2B" w:rsidRPr="000E696C" w:rsidRDefault="00FD5F2B" w:rsidP="00FD5F2B">
      <w:pPr>
        <w:pStyle w:val="Prrafodelista"/>
        <w:ind w:left="1080"/>
        <w:jc w:val="both"/>
        <w:textAlignment w:val="baseline"/>
        <w:rPr>
          <w:rFonts w:ascii="Century Gothic" w:eastAsia="Times New Roman" w:hAnsi="Century Gothic" w:cs="Open Sans"/>
          <w:b/>
          <w:bCs/>
          <w:color w:val="000000" w:themeColor="text1"/>
          <w:sz w:val="24"/>
          <w:szCs w:val="24"/>
          <w:lang w:val="es-CR"/>
        </w:rPr>
      </w:pPr>
    </w:p>
    <w:p w14:paraId="1165BD75" w14:textId="4B115774" w:rsidR="00FD5F2B" w:rsidRPr="000E696C" w:rsidRDefault="00300EF1" w:rsidP="00FD5F2B">
      <w:pPr>
        <w:pStyle w:val="Prrafodelista"/>
        <w:numPr>
          <w:ilvl w:val="0"/>
          <w:numId w:val="27"/>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Tribunal de Cuentas</w:t>
      </w:r>
      <w:r w:rsidR="00FD5F2B" w:rsidRPr="000E696C">
        <w:rPr>
          <w:rFonts w:ascii="Century Gothic" w:eastAsia="Times New Roman" w:hAnsi="Century Gothic" w:cs="Open Sans"/>
          <w:b/>
          <w:bCs/>
          <w:color w:val="000000" w:themeColor="text1"/>
          <w:sz w:val="24"/>
          <w:szCs w:val="24"/>
          <w:lang w:val="es-CR"/>
        </w:rPr>
        <w:t xml:space="preserve">: </w:t>
      </w:r>
      <w:r w:rsidR="00FD5F2B" w:rsidRPr="000E696C">
        <w:rPr>
          <w:rFonts w:ascii="Century Gothic" w:hAnsi="Century Gothic" w:cs="Times New Roman"/>
          <w:color w:val="000000" w:themeColor="text1"/>
          <w:sz w:val="24"/>
          <w:szCs w:val="24"/>
        </w:rPr>
        <w:t>La Constitución Política de la de la República de Panamá en el artículo 281 estableció la Jurisdicción de Cuentas, para juzgar las cuentas de los agentes y empleados de manejo, cuando surjan reparos de estas por razón de supuestas irregularidades. La ley 67 de 2008 creó el Tribunal de Cuentas de única instancia, independiente en lo funcional, administrativo y presupuestario con jurisdicción y competencia en todo el territorio nacional.</w:t>
      </w:r>
      <w:r w:rsidR="00FD5F2B" w:rsidRPr="000E696C">
        <w:rPr>
          <w:rFonts w:ascii="Century Gothic" w:eastAsia="Times New Roman" w:hAnsi="Century Gothic" w:cs="Times New Roman"/>
          <w:color w:val="000000" w:themeColor="text1"/>
          <w:sz w:val="24"/>
          <w:szCs w:val="24"/>
          <w:lang w:eastAsia="es-PA"/>
        </w:rPr>
        <w:t xml:space="preserve"> Dentro de sus objetivos el Tribunal de Cuentas debe </w:t>
      </w:r>
      <w:r w:rsidR="00FD5F2B" w:rsidRPr="000E696C">
        <w:rPr>
          <w:rFonts w:ascii="Century Gothic" w:hAnsi="Century Gothic" w:cs="Times New Roman"/>
          <w:color w:val="000000" w:themeColor="text1"/>
          <w:sz w:val="24"/>
          <w:szCs w:val="24"/>
        </w:rPr>
        <w:t>Garantizar a la ciudadanía en general que los fondos o bienes del Estado, sustraídos y malversados en cualquier forma, sean recuperados, además de Llevar los procesos de responsabilidad patrimonial con la debida celeridad y eficiencia procesal, a fin de resarcir al Estado de las lesiones patrimoniales causadas.</w:t>
      </w:r>
    </w:p>
    <w:p w14:paraId="40DBD809" w14:textId="77777777" w:rsidR="00FD5F2B" w:rsidRPr="000E696C" w:rsidRDefault="00FD5F2B" w:rsidP="00FD5F2B">
      <w:pPr>
        <w:pStyle w:val="Prrafodelista"/>
        <w:ind w:left="1080"/>
        <w:jc w:val="both"/>
        <w:textAlignment w:val="baseline"/>
        <w:rPr>
          <w:rFonts w:ascii="Century Gothic" w:eastAsia="Times New Roman" w:hAnsi="Century Gothic" w:cs="Open Sans"/>
          <w:b/>
          <w:bCs/>
          <w:color w:val="000000" w:themeColor="text1"/>
          <w:sz w:val="24"/>
          <w:szCs w:val="24"/>
          <w:lang w:val="es-CR"/>
        </w:rPr>
      </w:pPr>
    </w:p>
    <w:p w14:paraId="30DE67AF" w14:textId="6B845B41" w:rsidR="00300EF1" w:rsidRPr="000E696C" w:rsidRDefault="00300EF1" w:rsidP="00B12142">
      <w:pPr>
        <w:pStyle w:val="Prrafodelista"/>
        <w:numPr>
          <w:ilvl w:val="0"/>
          <w:numId w:val="27"/>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lastRenderedPageBreak/>
        <w:t>Ministerio de Seguridad Pública</w:t>
      </w:r>
      <w:r w:rsidR="00FD5F2B" w:rsidRPr="000E696C">
        <w:rPr>
          <w:rFonts w:ascii="Century Gothic" w:eastAsia="Times New Roman" w:hAnsi="Century Gothic" w:cs="Open Sans"/>
          <w:b/>
          <w:bCs/>
          <w:color w:val="000000" w:themeColor="text1"/>
          <w:sz w:val="24"/>
          <w:szCs w:val="24"/>
          <w:lang w:val="es-CR"/>
        </w:rPr>
        <w:t xml:space="preserve">: </w:t>
      </w:r>
      <w:r w:rsidR="00FD5F2B" w:rsidRPr="000E696C">
        <w:rPr>
          <w:rFonts w:ascii="Century Gothic" w:hAnsi="Century Gothic" w:cs="Times New Roman"/>
          <w:color w:val="000000" w:themeColor="text1"/>
          <w:sz w:val="24"/>
          <w:szCs w:val="24"/>
        </w:rPr>
        <w:t>Se crea el Ministerio de Seguridad Pública con la misión de determinar las políticas del país y planificar, coordinar, controlar y apoyar el esfuerzo de los estamentos de seguridad e inteligencia; el nivel operativo del Ministerio de Seguridad Pública esta compuesto por la Policía Nacional, el servicio Nacional Aeronaval, el Servicio Nacional de Fronteras y el Servicio Nacional de Migración, los cuales sirven de apoyo al Ministerio Público y a otras instituciones para luchar contra la corrupción y el crimen en general.</w:t>
      </w:r>
    </w:p>
    <w:p w14:paraId="4FADCC5E" w14:textId="77777777" w:rsidR="00B12142" w:rsidRPr="000E696C" w:rsidRDefault="00B12142" w:rsidP="00B12142">
      <w:pPr>
        <w:jc w:val="both"/>
        <w:textAlignment w:val="baseline"/>
        <w:rPr>
          <w:rFonts w:ascii="Century Gothic" w:eastAsia="Times New Roman" w:hAnsi="Century Gothic" w:cs="Open Sans"/>
          <w:b/>
          <w:bCs/>
          <w:color w:val="000000" w:themeColor="text1"/>
          <w:sz w:val="24"/>
          <w:szCs w:val="24"/>
          <w:lang w:val="es-CR"/>
        </w:rPr>
      </w:pPr>
    </w:p>
    <w:p w14:paraId="74DADF23" w14:textId="023D07BF" w:rsidR="00E86531" w:rsidRPr="004E567B" w:rsidRDefault="00B12142" w:rsidP="00E86531">
      <w:pPr>
        <w:pStyle w:val="Prrafodelista"/>
        <w:numPr>
          <w:ilvl w:val="0"/>
          <w:numId w:val="27"/>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 xml:space="preserve">Contraloría General de la República: </w:t>
      </w:r>
      <w:r w:rsidRPr="000E696C">
        <w:rPr>
          <w:rFonts w:ascii="Century Gothic" w:hAnsi="Century Gothic" w:cs="Times New Roman"/>
          <w:color w:val="000000" w:themeColor="text1"/>
          <w:sz w:val="24"/>
          <w:szCs w:val="24"/>
          <w:shd w:val="clear" w:color="auto" w:fill="FFFFFF"/>
        </w:rPr>
        <w:t>Debido a que la Contraloría General de la República</w:t>
      </w:r>
      <w:r w:rsidR="006241F2">
        <w:rPr>
          <w:rFonts w:ascii="Century Gothic" w:hAnsi="Century Gothic" w:cs="Times New Roman"/>
          <w:color w:val="000000" w:themeColor="text1"/>
          <w:sz w:val="24"/>
          <w:szCs w:val="24"/>
          <w:shd w:val="clear" w:color="auto" w:fill="FFFFFF"/>
        </w:rPr>
        <w:t xml:space="preserve"> </w:t>
      </w:r>
      <w:r w:rsidRPr="000E696C">
        <w:rPr>
          <w:rFonts w:ascii="Century Gothic" w:hAnsi="Century Gothic" w:cs="Times New Roman"/>
          <w:color w:val="000000" w:themeColor="text1"/>
          <w:sz w:val="24"/>
          <w:szCs w:val="24"/>
          <w:shd w:val="clear" w:color="auto" w:fill="FFFFFF"/>
        </w:rPr>
        <w:t>es la</w:t>
      </w:r>
      <w:r w:rsidR="006241F2">
        <w:rPr>
          <w:rFonts w:ascii="Century Gothic" w:hAnsi="Century Gothic" w:cs="Times New Roman"/>
          <w:color w:val="000000" w:themeColor="text1"/>
          <w:sz w:val="24"/>
          <w:szCs w:val="24"/>
          <w:shd w:val="clear" w:color="auto" w:fill="FFFFFF"/>
        </w:rPr>
        <w:t xml:space="preserve"> </w:t>
      </w:r>
      <w:hyperlink r:id="rId11" w:tooltip="Entidad fiscalizadora superior" w:history="1">
        <w:r w:rsidRPr="000E696C">
          <w:rPr>
            <w:rStyle w:val="Hipervnculo"/>
            <w:rFonts w:ascii="Century Gothic" w:hAnsi="Century Gothic" w:cs="Times New Roman"/>
            <w:color w:val="000000" w:themeColor="text1"/>
            <w:sz w:val="24"/>
            <w:szCs w:val="24"/>
            <w:u w:val="none"/>
            <w:shd w:val="clear" w:color="auto" w:fill="FFFFFF"/>
          </w:rPr>
          <w:t>entidad fiscalizadora superior</w:t>
        </w:r>
      </w:hyperlink>
      <w:r w:rsidR="006241F2">
        <w:rPr>
          <w:rFonts w:ascii="Century Gothic" w:hAnsi="Century Gothic" w:cs="Times New Roman"/>
          <w:color w:val="000000" w:themeColor="text1"/>
          <w:sz w:val="24"/>
          <w:szCs w:val="24"/>
          <w:shd w:val="clear" w:color="auto" w:fill="FFFFFF"/>
        </w:rPr>
        <w:t xml:space="preserve"> </w:t>
      </w:r>
      <w:r w:rsidRPr="000E696C">
        <w:rPr>
          <w:rFonts w:ascii="Century Gothic" w:hAnsi="Century Gothic" w:cs="Times New Roman"/>
          <w:color w:val="000000" w:themeColor="text1"/>
          <w:sz w:val="24"/>
          <w:szCs w:val="24"/>
          <w:shd w:val="clear" w:color="auto" w:fill="FFFFFF"/>
        </w:rPr>
        <w:t>de</w:t>
      </w:r>
      <w:r w:rsidR="006241F2">
        <w:rPr>
          <w:rFonts w:ascii="Century Gothic" w:hAnsi="Century Gothic" w:cs="Times New Roman"/>
          <w:color w:val="000000" w:themeColor="text1"/>
          <w:sz w:val="24"/>
          <w:szCs w:val="24"/>
          <w:shd w:val="clear" w:color="auto" w:fill="FFFFFF"/>
        </w:rPr>
        <w:t xml:space="preserve"> </w:t>
      </w:r>
      <w:hyperlink r:id="rId12" w:tooltip="Panamá" w:history="1">
        <w:r w:rsidRPr="000E696C">
          <w:rPr>
            <w:rStyle w:val="Hipervnculo"/>
            <w:rFonts w:ascii="Century Gothic" w:hAnsi="Century Gothic" w:cs="Times New Roman"/>
            <w:color w:val="000000" w:themeColor="text1"/>
            <w:sz w:val="24"/>
            <w:szCs w:val="24"/>
            <w:u w:val="none"/>
            <w:shd w:val="clear" w:color="auto" w:fill="FFFFFF"/>
          </w:rPr>
          <w:t>Panamá</w:t>
        </w:r>
      </w:hyperlink>
      <w:r w:rsidRPr="000E696C">
        <w:rPr>
          <w:rFonts w:ascii="Century Gothic" w:hAnsi="Century Gothic" w:cs="Times New Roman"/>
          <w:color w:val="000000" w:themeColor="text1"/>
          <w:sz w:val="24"/>
          <w:szCs w:val="24"/>
          <w:shd w:val="clear" w:color="auto" w:fill="FFFFFF"/>
        </w:rPr>
        <w:t>, de carácter autónomo y rango constitucional, encargada de ejercer el control de legalidad de los actos de la</w:t>
      </w:r>
      <w:r w:rsidR="006241F2">
        <w:rPr>
          <w:rFonts w:ascii="Century Gothic" w:hAnsi="Century Gothic" w:cs="Times New Roman"/>
          <w:color w:val="000000" w:themeColor="text1"/>
          <w:sz w:val="24"/>
          <w:szCs w:val="24"/>
          <w:shd w:val="clear" w:color="auto" w:fill="FFFFFF"/>
        </w:rPr>
        <w:t xml:space="preserve"> </w:t>
      </w:r>
      <w:hyperlink r:id="rId13" w:history="1">
        <w:r w:rsidRPr="000E696C">
          <w:rPr>
            <w:rStyle w:val="Hipervnculo"/>
            <w:rFonts w:ascii="Century Gothic" w:hAnsi="Century Gothic" w:cs="Times New Roman"/>
            <w:color w:val="000000" w:themeColor="text1"/>
            <w:sz w:val="24"/>
            <w:szCs w:val="24"/>
            <w:u w:val="none"/>
            <w:shd w:val="clear" w:color="auto" w:fill="FFFFFF"/>
          </w:rPr>
          <w:t>Administración Pública</w:t>
        </w:r>
      </w:hyperlink>
      <w:r w:rsidRPr="000E696C">
        <w:rPr>
          <w:rFonts w:ascii="Century Gothic" w:hAnsi="Century Gothic" w:cs="Times New Roman"/>
          <w:color w:val="000000" w:themeColor="text1"/>
          <w:sz w:val="24"/>
          <w:szCs w:val="24"/>
          <w:shd w:val="clear" w:color="auto" w:fill="FFFFFF"/>
        </w:rPr>
        <w:t>, fiscalizar el ingreso y la inversión de los fondos fiscales, municipales y de los demás organismos y servicios que determinen las leyes, examinar y juzgar las cuentas de las personas que tengan a su cargo bienes fiscales y municipales, llevar la contabilidad general de la Nación y desempeñar las demás funciones encomendadas por la ley, es considerada una entidad muy importante para el apoyo en la lucha contra la corrupción.</w:t>
      </w:r>
    </w:p>
    <w:p w14:paraId="22FF69A5" w14:textId="77777777" w:rsidR="004E567B" w:rsidRPr="004E567B" w:rsidRDefault="004E567B" w:rsidP="004E567B">
      <w:pPr>
        <w:pStyle w:val="Prrafodelista"/>
        <w:rPr>
          <w:rFonts w:ascii="Century Gothic" w:eastAsia="Times New Roman" w:hAnsi="Century Gothic" w:cs="Open Sans"/>
          <w:b/>
          <w:bCs/>
          <w:color w:val="000000" w:themeColor="text1"/>
          <w:sz w:val="24"/>
          <w:szCs w:val="24"/>
          <w:lang w:val="es-CR"/>
        </w:rPr>
      </w:pPr>
    </w:p>
    <w:p w14:paraId="7A5ED432" w14:textId="4B004965" w:rsidR="004E567B" w:rsidRDefault="004E567B" w:rsidP="004E567B">
      <w:pPr>
        <w:ind w:left="720"/>
        <w:jc w:val="both"/>
        <w:textAlignment w:val="baseline"/>
        <w:rPr>
          <w:rFonts w:ascii="Century Gothic" w:eastAsia="Times New Roman" w:hAnsi="Century Gothic" w:cs="Open Sans"/>
          <w:color w:val="000000" w:themeColor="text1"/>
          <w:sz w:val="24"/>
          <w:szCs w:val="24"/>
          <w:lang w:val="es-CR"/>
        </w:rPr>
      </w:pPr>
      <w:r>
        <w:rPr>
          <w:rFonts w:ascii="Century Gothic" w:eastAsia="Times New Roman" w:hAnsi="Century Gothic" w:cs="Open Sans"/>
          <w:color w:val="000000" w:themeColor="text1"/>
          <w:sz w:val="24"/>
          <w:szCs w:val="24"/>
          <w:lang w:val="es-CR"/>
        </w:rPr>
        <w:t>Además destacan dos órganos de articulación creados por decreto:</w:t>
      </w:r>
    </w:p>
    <w:p w14:paraId="650C807B" w14:textId="2BA9D1E4" w:rsidR="004E567B" w:rsidRDefault="004E567B" w:rsidP="004E567B">
      <w:pPr>
        <w:ind w:left="720"/>
        <w:jc w:val="both"/>
        <w:textAlignment w:val="baseline"/>
        <w:rPr>
          <w:rFonts w:ascii="Century Gothic" w:eastAsia="Times New Roman" w:hAnsi="Century Gothic" w:cs="Open Sans"/>
          <w:color w:val="000000" w:themeColor="text1"/>
          <w:sz w:val="24"/>
          <w:szCs w:val="24"/>
          <w:lang w:val="es-CR"/>
        </w:rPr>
      </w:pPr>
    </w:p>
    <w:p w14:paraId="2CE5DE30" w14:textId="4B33245C" w:rsidR="004E567B" w:rsidRPr="004E567B" w:rsidRDefault="004E567B" w:rsidP="004E567B">
      <w:pPr>
        <w:pStyle w:val="Prrafodelista"/>
        <w:numPr>
          <w:ilvl w:val="0"/>
          <w:numId w:val="32"/>
        </w:numPr>
        <w:jc w:val="both"/>
        <w:textAlignment w:val="baseline"/>
        <w:rPr>
          <w:rFonts w:ascii="Century Gothic" w:eastAsia="Times New Roman" w:hAnsi="Century Gothic" w:cs="Open Sans"/>
          <w:b/>
          <w:bCs/>
          <w:color w:val="000000" w:themeColor="text1"/>
          <w:sz w:val="24"/>
          <w:szCs w:val="24"/>
          <w:lang w:val="es-CR"/>
        </w:rPr>
      </w:pPr>
      <w:r>
        <w:rPr>
          <w:rFonts w:ascii="Century Gothic" w:eastAsia="Times New Roman" w:hAnsi="Century Gothic" w:cs="Open Sans"/>
          <w:b/>
          <w:bCs/>
          <w:color w:val="000000" w:themeColor="text1"/>
          <w:sz w:val="24"/>
          <w:szCs w:val="24"/>
          <w:lang w:val="es-CR"/>
        </w:rPr>
        <w:t>Comisión Nacional de Gobierno Abierto:</w:t>
      </w:r>
    </w:p>
    <w:p w14:paraId="1E3343C5" w14:textId="2FBBA0FA" w:rsidR="004E567B" w:rsidRDefault="004E567B" w:rsidP="004E567B">
      <w:pPr>
        <w:ind w:left="720"/>
        <w:jc w:val="both"/>
        <w:textAlignment w:val="baseline"/>
        <w:rPr>
          <w:rFonts w:ascii="Century Gothic" w:eastAsia="Times New Roman" w:hAnsi="Century Gothic" w:cs="Open Sans"/>
          <w:b/>
          <w:bCs/>
          <w:color w:val="000000" w:themeColor="text1"/>
          <w:sz w:val="24"/>
          <w:szCs w:val="24"/>
          <w:lang w:val="es-CR"/>
        </w:rPr>
      </w:pPr>
    </w:p>
    <w:p w14:paraId="4C1B6A71" w14:textId="1B444721" w:rsidR="004E567B" w:rsidRPr="004E567B" w:rsidRDefault="004E567B" w:rsidP="004E567B">
      <w:pPr>
        <w:pStyle w:val="Prrafodelista"/>
        <w:numPr>
          <w:ilvl w:val="0"/>
          <w:numId w:val="32"/>
        </w:numPr>
        <w:jc w:val="both"/>
        <w:textAlignment w:val="baseline"/>
        <w:rPr>
          <w:rFonts w:ascii="Century Gothic" w:eastAsia="Times New Roman" w:hAnsi="Century Gothic" w:cs="Open Sans"/>
          <w:b/>
          <w:bCs/>
          <w:color w:val="000000" w:themeColor="text1"/>
          <w:sz w:val="24"/>
          <w:szCs w:val="24"/>
          <w:lang w:val="es-CR"/>
        </w:rPr>
      </w:pPr>
      <w:r>
        <w:rPr>
          <w:rFonts w:ascii="Century Gothic" w:eastAsia="Times New Roman" w:hAnsi="Century Gothic" w:cs="Open Sans"/>
          <w:b/>
          <w:bCs/>
          <w:color w:val="000000" w:themeColor="text1"/>
          <w:sz w:val="24"/>
          <w:szCs w:val="24"/>
          <w:lang w:val="es-CR"/>
        </w:rPr>
        <w:t>Grupo de Trabajo de Datos Abiertos Panamá:</w:t>
      </w:r>
    </w:p>
    <w:p w14:paraId="54FC4E0A" w14:textId="15762817" w:rsidR="00E86531" w:rsidRPr="000E696C" w:rsidRDefault="00E86531" w:rsidP="00E86531">
      <w:pPr>
        <w:pStyle w:val="Ttulo3"/>
        <w:rPr>
          <w:rFonts w:ascii="Century Gothic" w:hAnsi="Century Gothic"/>
          <w:color w:val="000000" w:themeColor="text1"/>
          <w:lang w:val="es-CR"/>
        </w:rPr>
      </w:pPr>
      <w:bookmarkStart w:id="13" w:name="_Toc100251359"/>
      <w:r w:rsidRPr="000E696C">
        <w:rPr>
          <w:rFonts w:ascii="Century Gothic" w:hAnsi="Century Gothic"/>
          <w:color w:val="000000" w:themeColor="text1"/>
          <w:lang w:val="es-CR"/>
        </w:rPr>
        <w:t xml:space="preserve">Instituciones </w:t>
      </w:r>
      <w:r w:rsidR="00190139" w:rsidRPr="000E696C">
        <w:rPr>
          <w:rFonts w:ascii="Century Gothic" w:hAnsi="Century Gothic"/>
          <w:color w:val="000000" w:themeColor="text1"/>
          <w:lang w:val="es-CR"/>
        </w:rPr>
        <w:t>colaborado</w:t>
      </w:r>
      <w:r w:rsidR="00FA0373">
        <w:rPr>
          <w:rFonts w:ascii="Century Gothic" w:hAnsi="Century Gothic"/>
          <w:color w:val="000000" w:themeColor="text1"/>
          <w:lang w:val="es-CR"/>
        </w:rPr>
        <w:t>ra</w:t>
      </w:r>
      <w:r w:rsidR="00190139" w:rsidRPr="000E696C">
        <w:rPr>
          <w:rFonts w:ascii="Century Gothic" w:hAnsi="Century Gothic"/>
          <w:color w:val="000000" w:themeColor="text1"/>
          <w:lang w:val="es-CR"/>
        </w:rPr>
        <w:t>s en la apertura de datos públicos</w:t>
      </w:r>
      <w:bookmarkEnd w:id="13"/>
    </w:p>
    <w:p w14:paraId="2BE395F3" w14:textId="3E3F0946" w:rsidR="00E86531" w:rsidRPr="000E696C" w:rsidRDefault="00E86531" w:rsidP="00E86531">
      <w:pPr>
        <w:jc w:val="both"/>
        <w:textAlignment w:val="baseline"/>
        <w:rPr>
          <w:rFonts w:ascii="Century Gothic" w:eastAsia="Times New Roman" w:hAnsi="Century Gothic" w:cs="Open Sans"/>
          <w:b/>
          <w:bCs/>
          <w:color w:val="000000" w:themeColor="text1"/>
          <w:sz w:val="24"/>
          <w:szCs w:val="24"/>
          <w:lang w:val="es-CR"/>
        </w:rPr>
      </w:pPr>
    </w:p>
    <w:p w14:paraId="135399CD" w14:textId="00162FB2" w:rsidR="00A51FFC" w:rsidRPr="000E696C" w:rsidRDefault="00A51FFC" w:rsidP="00E86531">
      <w:pPr>
        <w:jc w:val="both"/>
        <w:textAlignment w:val="baseline"/>
        <w:rPr>
          <w:rFonts w:ascii="Century Gothic" w:eastAsia="Times New Roman" w:hAnsi="Century Gothic" w:cs="Open San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ab/>
      </w:r>
      <w:r w:rsidRPr="000E696C">
        <w:rPr>
          <w:rFonts w:ascii="Century Gothic" w:eastAsia="Times New Roman" w:hAnsi="Century Gothic" w:cs="Open Sans"/>
          <w:color w:val="000000" w:themeColor="text1"/>
          <w:sz w:val="24"/>
          <w:szCs w:val="24"/>
          <w:lang w:val="es-CR"/>
        </w:rPr>
        <w:t>Las instituciones que se enlistan a continuación, al igual que las mencionadas supra, también conforman el Grupo de Trabajo de Datos Abiertos, pero se les otorga la categoría de colaboradoras en razón de que producen, recolectan, publican y difunden datos que se consideran prioritarios:</w:t>
      </w:r>
    </w:p>
    <w:p w14:paraId="40BCCCDC" w14:textId="260BF122" w:rsidR="00300EF1" w:rsidRPr="000E696C" w:rsidRDefault="00300EF1" w:rsidP="009C315D">
      <w:pPr>
        <w:jc w:val="both"/>
        <w:textAlignment w:val="baseline"/>
        <w:rPr>
          <w:rFonts w:ascii="Century Gothic" w:eastAsia="Times New Roman" w:hAnsi="Century Gothic" w:cs="Open Sans"/>
          <w:b/>
          <w:bCs/>
          <w:color w:val="000000" w:themeColor="text1"/>
          <w:sz w:val="24"/>
          <w:szCs w:val="24"/>
          <w:lang w:val="es-CR"/>
        </w:rPr>
      </w:pPr>
    </w:p>
    <w:p w14:paraId="0766168F" w14:textId="77777777" w:rsidR="00A51FFC" w:rsidRPr="000E696C" w:rsidRDefault="00300EF1" w:rsidP="009C315D">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Ministerio de Economía y Finanzas</w:t>
      </w:r>
    </w:p>
    <w:p w14:paraId="2D5707B2" w14:textId="39C15FB4" w:rsidR="00A51FFC" w:rsidRPr="000E696C" w:rsidRDefault="00300EF1" w:rsidP="009C315D">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Órgano Judicial</w:t>
      </w:r>
      <w:r w:rsidR="00332D0B" w:rsidRPr="000E696C">
        <w:rPr>
          <w:rFonts w:ascii="Century Gothic" w:eastAsia="Times New Roman" w:hAnsi="Century Gothic" w:cs="Open Sans"/>
          <w:b/>
          <w:bCs/>
          <w:color w:val="000000" w:themeColor="text1"/>
          <w:sz w:val="24"/>
          <w:szCs w:val="24"/>
          <w:lang w:val="es-CR"/>
        </w:rPr>
        <w:t>*</w:t>
      </w:r>
      <w:r w:rsidR="00332D0B" w:rsidRPr="000E696C">
        <w:rPr>
          <w:rStyle w:val="Refdenotaalpie"/>
          <w:rFonts w:ascii="Century Gothic" w:eastAsia="Times New Roman" w:hAnsi="Century Gothic" w:cs="Open Sans"/>
          <w:b/>
          <w:bCs/>
          <w:color w:val="000000" w:themeColor="text1"/>
          <w:sz w:val="24"/>
          <w:szCs w:val="24"/>
          <w:lang w:val="es-CR"/>
        </w:rPr>
        <w:footnoteReference w:id="25"/>
      </w:r>
    </w:p>
    <w:p w14:paraId="3A471C64" w14:textId="4A814ED0" w:rsidR="00A51FFC" w:rsidRPr="000E696C" w:rsidRDefault="00300EF1" w:rsidP="009C315D">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Dirección General de Ingresos</w:t>
      </w:r>
      <w:r w:rsidR="00332D0B" w:rsidRPr="000E696C">
        <w:rPr>
          <w:rFonts w:ascii="Century Gothic" w:eastAsia="Times New Roman" w:hAnsi="Century Gothic" w:cs="Open Sans"/>
          <w:b/>
          <w:bCs/>
          <w:color w:val="000000" w:themeColor="text1"/>
          <w:sz w:val="24"/>
          <w:szCs w:val="24"/>
          <w:lang w:val="es-CR"/>
        </w:rPr>
        <w:t>**</w:t>
      </w:r>
      <w:r w:rsidR="00332D0B" w:rsidRPr="000E696C">
        <w:rPr>
          <w:rStyle w:val="Refdenotaalpie"/>
          <w:rFonts w:ascii="Century Gothic" w:eastAsia="Times New Roman" w:hAnsi="Century Gothic" w:cs="Open Sans"/>
          <w:b/>
          <w:bCs/>
          <w:color w:val="000000" w:themeColor="text1"/>
          <w:sz w:val="24"/>
          <w:szCs w:val="24"/>
          <w:lang w:val="es-CR"/>
        </w:rPr>
        <w:footnoteReference w:id="26"/>
      </w:r>
    </w:p>
    <w:p w14:paraId="0D023A44" w14:textId="77777777" w:rsidR="00A51FFC" w:rsidRPr="000E696C" w:rsidRDefault="00300EF1" w:rsidP="009C315D">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Ministerio de Ambiente</w:t>
      </w:r>
    </w:p>
    <w:p w14:paraId="5F3140C3" w14:textId="5DB953E8" w:rsidR="00A51FFC" w:rsidRPr="000E696C" w:rsidRDefault="00300EF1" w:rsidP="009C315D">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lastRenderedPageBreak/>
        <w:t>Dirección General de Carrera Administrativa</w:t>
      </w:r>
      <w:r w:rsidR="00332D0B" w:rsidRPr="000E696C">
        <w:rPr>
          <w:rFonts w:ascii="Century Gothic" w:eastAsia="Times New Roman" w:hAnsi="Century Gothic" w:cs="Open Sans"/>
          <w:b/>
          <w:bCs/>
          <w:color w:val="000000" w:themeColor="text1"/>
          <w:sz w:val="24"/>
          <w:szCs w:val="24"/>
          <w:lang w:val="es-CR"/>
        </w:rPr>
        <w:t>**</w:t>
      </w:r>
    </w:p>
    <w:p w14:paraId="165634E3" w14:textId="29D4DD06" w:rsidR="00A51FFC" w:rsidRPr="000E696C" w:rsidRDefault="00300EF1" w:rsidP="009C315D">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Procuraduría de la Administración</w:t>
      </w:r>
      <w:r w:rsidR="00332D0B" w:rsidRPr="000E696C">
        <w:rPr>
          <w:rFonts w:ascii="Century Gothic" w:eastAsia="Times New Roman" w:hAnsi="Century Gothic" w:cs="Open Sans"/>
          <w:b/>
          <w:bCs/>
          <w:color w:val="000000" w:themeColor="text1"/>
          <w:sz w:val="24"/>
          <w:szCs w:val="24"/>
          <w:lang w:val="es-CR"/>
        </w:rPr>
        <w:t>**</w:t>
      </w:r>
    </w:p>
    <w:p w14:paraId="3DF23B05" w14:textId="662FFEAD" w:rsidR="00A51FFC" w:rsidRPr="000E696C" w:rsidRDefault="00300EF1" w:rsidP="009C315D">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Defensoría del Pueblo</w:t>
      </w:r>
      <w:r w:rsidR="00332D0B" w:rsidRPr="000E696C">
        <w:rPr>
          <w:rFonts w:ascii="Century Gothic" w:eastAsia="Times New Roman" w:hAnsi="Century Gothic" w:cs="Open Sans"/>
          <w:b/>
          <w:bCs/>
          <w:color w:val="000000" w:themeColor="text1"/>
          <w:sz w:val="24"/>
          <w:szCs w:val="24"/>
          <w:lang w:val="es-CR"/>
        </w:rPr>
        <w:t>*</w:t>
      </w:r>
    </w:p>
    <w:p w14:paraId="08230EF4" w14:textId="77777777" w:rsidR="00A51FFC" w:rsidRPr="000E696C" w:rsidRDefault="00300EF1" w:rsidP="009C315D">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Ministerio de Gobierno</w:t>
      </w:r>
    </w:p>
    <w:p w14:paraId="19795591" w14:textId="5A4A2855" w:rsidR="00A51FFC" w:rsidRPr="000E696C" w:rsidRDefault="00300EF1" w:rsidP="00DC59ED">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Asamblea Nacional de Diputados</w:t>
      </w:r>
      <w:r w:rsidR="00332D0B" w:rsidRPr="000E696C">
        <w:rPr>
          <w:rFonts w:ascii="Century Gothic" w:eastAsia="Times New Roman" w:hAnsi="Century Gothic" w:cs="Open Sans"/>
          <w:b/>
          <w:bCs/>
          <w:color w:val="000000" w:themeColor="text1"/>
          <w:sz w:val="24"/>
          <w:szCs w:val="24"/>
          <w:lang w:val="es-CR"/>
        </w:rPr>
        <w:t>*</w:t>
      </w:r>
    </w:p>
    <w:p w14:paraId="4F2854DC" w14:textId="17FFDE6A" w:rsidR="00AF76F0" w:rsidRPr="000E696C" w:rsidRDefault="00300EF1" w:rsidP="00DC59ED">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0E696C">
        <w:rPr>
          <w:rFonts w:ascii="Century Gothic" w:eastAsia="Times New Roman" w:hAnsi="Century Gothic" w:cs="Open Sans"/>
          <w:b/>
          <w:bCs/>
          <w:color w:val="000000" w:themeColor="text1"/>
          <w:sz w:val="24"/>
          <w:szCs w:val="24"/>
          <w:lang w:val="es-CR"/>
        </w:rPr>
        <w:t>Alcaldía de Panamá</w:t>
      </w:r>
      <w:r w:rsidR="00332D0B" w:rsidRPr="000E696C">
        <w:rPr>
          <w:rFonts w:ascii="Century Gothic" w:eastAsia="Times New Roman" w:hAnsi="Century Gothic" w:cs="Open Sans"/>
          <w:b/>
          <w:bCs/>
          <w:color w:val="000000" w:themeColor="text1"/>
          <w:sz w:val="24"/>
          <w:szCs w:val="24"/>
          <w:lang w:val="es-CR"/>
        </w:rPr>
        <w:t>*</w:t>
      </w:r>
    </w:p>
    <w:p w14:paraId="4E043B3C" w14:textId="6616224F" w:rsidR="00B26FFE" w:rsidRPr="000E696C" w:rsidRDefault="00B26FFE" w:rsidP="00B26FFE">
      <w:pPr>
        <w:jc w:val="both"/>
        <w:textAlignment w:val="baseline"/>
        <w:rPr>
          <w:rFonts w:ascii="Century Gothic" w:eastAsia="Times New Roman" w:hAnsi="Century Gothic" w:cs="Open Sans"/>
          <w:b/>
          <w:bCs/>
          <w:color w:val="000000" w:themeColor="text1"/>
          <w:sz w:val="24"/>
          <w:szCs w:val="24"/>
          <w:lang w:val="es-CR"/>
        </w:rPr>
      </w:pPr>
    </w:p>
    <w:p w14:paraId="7A2F1BD8" w14:textId="03933920" w:rsidR="00B26FFE" w:rsidRDefault="00B26FFE" w:rsidP="00B26FFE">
      <w:pPr>
        <w:ind w:firstLine="720"/>
        <w:jc w:val="both"/>
        <w:textAlignment w:val="baseline"/>
        <w:rPr>
          <w:rFonts w:ascii="Century Gothic" w:eastAsia="Times New Roman" w:hAnsi="Century Gothic" w:cs="Open Sans"/>
          <w:color w:val="000000" w:themeColor="text1"/>
          <w:sz w:val="24"/>
          <w:szCs w:val="24"/>
          <w:lang w:val="es-CR"/>
        </w:rPr>
      </w:pPr>
      <w:r w:rsidRPr="000E696C">
        <w:rPr>
          <w:rFonts w:ascii="Century Gothic" w:eastAsia="Times New Roman" w:hAnsi="Century Gothic" w:cs="Open Sans"/>
          <w:color w:val="000000" w:themeColor="text1"/>
          <w:sz w:val="24"/>
          <w:szCs w:val="24"/>
          <w:lang w:val="es-CR"/>
        </w:rPr>
        <w:t>En lo que respecta al PIDA es necesario identificar qué instituciones, además de las que conforman este Grupo de Trabajo, producen, recolectan, publican y difunden datos en formato abierto que son prioritarios en materia anticorrupción. Se recomienda revisar la lista de datos del PIDA, mencionada en apartados anteriores.</w:t>
      </w:r>
    </w:p>
    <w:p w14:paraId="7F1A5CD8" w14:textId="46B9E0AD" w:rsidR="006241F2" w:rsidRDefault="006241F2" w:rsidP="006241F2">
      <w:pPr>
        <w:jc w:val="both"/>
        <w:textAlignment w:val="baseline"/>
        <w:rPr>
          <w:rFonts w:ascii="Century Gothic" w:eastAsia="Times New Roman" w:hAnsi="Century Gothic" w:cs="Open Sans"/>
          <w:color w:val="000000" w:themeColor="text1"/>
          <w:sz w:val="24"/>
          <w:szCs w:val="24"/>
          <w:lang w:val="es-CR"/>
        </w:rPr>
      </w:pPr>
    </w:p>
    <w:p w14:paraId="60019154" w14:textId="0B8371EF" w:rsidR="00AF76F0" w:rsidRPr="000E696C" w:rsidRDefault="00AF76F0" w:rsidP="00BF35A6">
      <w:pPr>
        <w:pStyle w:val="Ttulo2"/>
        <w:jc w:val="both"/>
        <w:rPr>
          <w:rFonts w:ascii="Century Gothic" w:hAnsi="Century Gothic"/>
          <w:color w:val="000000" w:themeColor="text1"/>
        </w:rPr>
      </w:pPr>
      <w:bookmarkStart w:id="14" w:name="_Toc100251360"/>
      <w:r w:rsidRPr="000E696C">
        <w:rPr>
          <w:rFonts w:ascii="Century Gothic" w:hAnsi="Century Gothic"/>
          <w:color w:val="000000" w:themeColor="text1"/>
        </w:rPr>
        <w:t>Actores No</w:t>
      </w:r>
      <w:r w:rsidR="00A6292D" w:rsidRPr="000E696C">
        <w:rPr>
          <w:rFonts w:ascii="Century Gothic" w:hAnsi="Century Gothic"/>
          <w:color w:val="000000" w:themeColor="text1"/>
        </w:rPr>
        <w:t xml:space="preserve"> </w:t>
      </w:r>
      <w:r w:rsidRPr="000E696C">
        <w:rPr>
          <w:rFonts w:ascii="Century Gothic" w:hAnsi="Century Gothic"/>
          <w:color w:val="000000" w:themeColor="text1"/>
        </w:rPr>
        <w:t>Institucionales</w:t>
      </w:r>
      <w:bookmarkEnd w:id="14"/>
    </w:p>
    <w:p w14:paraId="33067ED4" w14:textId="1B3C4889" w:rsidR="007017B7" w:rsidRPr="000E696C" w:rsidRDefault="007017B7" w:rsidP="007017B7">
      <w:pPr>
        <w:rPr>
          <w:color w:val="000000" w:themeColor="text1"/>
        </w:rPr>
      </w:pPr>
    </w:p>
    <w:p w14:paraId="4707380B" w14:textId="77777777" w:rsidR="009953F8" w:rsidRDefault="007017B7" w:rsidP="007017B7">
      <w:pPr>
        <w:jc w:val="both"/>
        <w:rPr>
          <w:rFonts w:ascii="Century Gothic" w:hAnsi="Century Gothic"/>
          <w:color w:val="000000" w:themeColor="text1"/>
          <w:sz w:val="24"/>
          <w:szCs w:val="24"/>
        </w:rPr>
      </w:pPr>
      <w:r w:rsidRPr="000E696C">
        <w:rPr>
          <w:rFonts w:ascii="Century Gothic" w:hAnsi="Century Gothic"/>
          <w:color w:val="000000" w:themeColor="text1"/>
          <w:sz w:val="24"/>
          <w:szCs w:val="24"/>
        </w:rPr>
        <w:tab/>
        <w:t xml:space="preserve">Para garantizar el éxito de cualquier iniciativa asociada a los datos abiertos, es necesario contar con un trabajo </w:t>
      </w:r>
      <w:proofErr w:type="spellStart"/>
      <w:r w:rsidRPr="000E696C">
        <w:rPr>
          <w:rFonts w:ascii="Century Gothic" w:hAnsi="Century Gothic"/>
          <w:color w:val="000000" w:themeColor="text1"/>
          <w:sz w:val="24"/>
          <w:szCs w:val="24"/>
        </w:rPr>
        <w:t>co</w:t>
      </w:r>
      <w:proofErr w:type="spellEnd"/>
      <w:r w:rsidRPr="000E696C">
        <w:rPr>
          <w:rFonts w:ascii="Century Gothic" w:hAnsi="Century Gothic"/>
          <w:color w:val="000000" w:themeColor="text1"/>
          <w:sz w:val="24"/>
          <w:szCs w:val="24"/>
        </w:rPr>
        <w:t>-creado y coordinado de manera directa con organizaciones de sociedad civil,</w:t>
      </w:r>
      <w:r w:rsidR="00A6292D" w:rsidRPr="000E696C">
        <w:rPr>
          <w:rFonts w:ascii="Century Gothic" w:hAnsi="Century Gothic"/>
          <w:color w:val="000000" w:themeColor="text1"/>
          <w:sz w:val="24"/>
          <w:szCs w:val="24"/>
        </w:rPr>
        <w:t xml:space="preserve"> sector privado y academia</w:t>
      </w:r>
      <w:r w:rsidRPr="000E696C">
        <w:rPr>
          <w:rFonts w:ascii="Century Gothic" w:hAnsi="Century Gothic"/>
          <w:color w:val="000000" w:themeColor="text1"/>
          <w:sz w:val="24"/>
          <w:szCs w:val="24"/>
        </w:rPr>
        <w:t xml:space="preserve"> para a</w:t>
      </w:r>
      <w:r w:rsidR="00A6292D" w:rsidRPr="000E696C">
        <w:rPr>
          <w:rFonts w:ascii="Century Gothic" w:hAnsi="Century Gothic"/>
          <w:color w:val="000000" w:themeColor="text1"/>
          <w:sz w:val="24"/>
          <w:szCs w:val="24"/>
        </w:rPr>
        <w:t>vanzar en la implementación de políticas públicas en esta área y garantizar su sostenibilidad.</w:t>
      </w:r>
      <w:r w:rsidR="009953F8">
        <w:rPr>
          <w:rFonts w:ascii="Century Gothic" w:hAnsi="Century Gothic"/>
          <w:color w:val="000000" w:themeColor="text1"/>
          <w:sz w:val="24"/>
          <w:szCs w:val="24"/>
        </w:rPr>
        <w:t xml:space="preserve"> </w:t>
      </w:r>
    </w:p>
    <w:p w14:paraId="76592357" w14:textId="11FCD5FB" w:rsidR="00A6292D" w:rsidRPr="000E696C" w:rsidRDefault="009953F8" w:rsidP="009953F8">
      <w:pPr>
        <w:ind w:firstLine="720"/>
        <w:jc w:val="both"/>
        <w:rPr>
          <w:rFonts w:ascii="Century Gothic" w:hAnsi="Century Gothic"/>
          <w:color w:val="000000" w:themeColor="text1"/>
          <w:sz w:val="24"/>
          <w:szCs w:val="24"/>
        </w:rPr>
      </w:pPr>
      <w:r>
        <w:rPr>
          <w:rFonts w:ascii="Century Gothic" w:hAnsi="Century Gothic"/>
          <w:color w:val="000000" w:themeColor="text1"/>
          <w:sz w:val="24"/>
          <w:szCs w:val="24"/>
        </w:rPr>
        <w:t xml:space="preserve">Los actores mapeados se subdividen </w:t>
      </w:r>
      <w:r w:rsidR="00A6292D" w:rsidRPr="000E696C">
        <w:rPr>
          <w:rFonts w:ascii="Century Gothic" w:hAnsi="Century Gothic"/>
          <w:color w:val="000000" w:themeColor="text1"/>
          <w:sz w:val="24"/>
          <w:szCs w:val="24"/>
        </w:rPr>
        <w:t xml:space="preserve">en categorías a partir de </w:t>
      </w:r>
      <w:r>
        <w:rPr>
          <w:rFonts w:ascii="Century Gothic" w:hAnsi="Century Gothic"/>
          <w:color w:val="000000" w:themeColor="text1"/>
          <w:sz w:val="24"/>
          <w:szCs w:val="24"/>
        </w:rPr>
        <w:t>los</w:t>
      </w:r>
      <w:r w:rsidR="00A6292D" w:rsidRPr="000E696C">
        <w:rPr>
          <w:rFonts w:ascii="Century Gothic" w:hAnsi="Century Gothic"/>
          <w:color w:val="000000" w:themeColor="text1"/>
          <w:sz w:val="24"/>
          <w:szCs w:val="24"/>
        </w:rPr>
        <w:t xml:space="preserve"> roles y naturaleza de su trabajo.</w:t>
      </w:r>
    </w:p>
    <w:p w14:paraId="73086AA9" w14:textId="24F0BC20" w:rsidR="00380A8C" w:rsidRPr="000E696C" w:rsidRDefault="00380A8C" w:rsidP="007017B7">
      <w:pPr>
        <w:jc w:val="both"/>
        <w:rPr>
          <w:rFonts w:ascii="Century Gothic" w:hAnsi="Century Gothic"/>
          <w:color w:val="000000" w:themeColor="text1"/>
          <w:sz w:val="24"/>
          <w:szCs w:val="24"/>
        </w:rPr>
      </w:pPr>
    </w:p>
    <w:p w14:paraId="426DCC4D" w14:textId="103292A5" w:rsidR="00380A8C" w:rsidRDefault="00380A8C" w:rsidP="00380A8C">
      <w:pPr>
        <w:pStyle w:val="Ttulo3"/>
        <w:rPr>
          <w:rFonts w:ascii="Century Gothic" w:hAnsi="Century Gothic"/>
          <w:color w:val="000000" w:themeColor="text1"/>
        </w:rPr>
      </w:pPr>
      <w:bookmarkStart w:id="15" w:name="_Toc100251361"/>
      <w:r w:rsidRPr="000E696C">
        <w:rPr>
          <w:rFonts w:ascii="Century Gothic" w:hAnsi="Century Gothic"/>
          <w:color w:val="000000" w:themeColor="text1"/>
        </w:rPr>
        <w:t>Datos abiertos, innovación y tecnología</w:t>
      </w:r>
      <w:bookmarkEnd w:id="15"/>
    </w:p>
    <w:p w14:paraId="7F3089D9" w14:textId="042535BC" w:rsidR="009953F8" w:rsidRDefault="009953F8" w:rsidP="009953F8"/>
    <w:p w14:paraId="228B0FFE" w14:textId="6CB87402" w:rsidR="009953F8" w:rsidRPr="009953F8" w:rsidRDefault="009953F8" w:rsidP="009953F8">
      <w:pPr>
        <w:jc w:val="both"/>
        <w:rPr>
          <w:rFonts w:ascii="Century Gothic" w:hAnsi="Century Gothic"/>
          <w:sz w:val="24"/>
          <w:szCs w:val="24"/>
        </w:rPr>
      </w:pPr>
      <w:r>
        <w:tab/>
      </w:r>
      <w:r>
        <w:rPr>
          <w:rFonts w:ascii="Century Gothic" w:hAnsi="Century Gothic"/>
          <w:sz w:val="24"/>
          <w:szCs w:val="24"/>
        </w:rPr>
        <w:t>A continuación, se enlistan los actores que actualmente colaboran con el Gobierno de Panamá en asuntos de Gobierno Abierto y Datos Abiertos y cuya experiencia es en el área de datos abiertos, innovación y tecnología:</w:t>
      </w:r>
    </w:p>
    <w:p w14:paraId="68C2944C" w14:textId="0BC0298A" w:rsidR="00AF76F0" w:rsidRPr="000E696C" w:rsidRDefault="00AF76F0" w:rsidP="00A41D3C">
      <w:pPr>
        <w:jc w:val="both"/>
        <w:rPr>
          <w:rFonts w:ascii="Century Gothic" w:hAnsi="Century Gothic"/>
          <w:color w:val="000000" w:themeColor="text1"/>
        </w:rPr>
      </w:pPr>
    </w:p>
    <w:p w14:paraId="03A6BF7B" w14:textId="77777777" w:rsidR="003866E9" w:rsidRDefault="003D2409" w:rsidP="003866E9">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9953F8">
        <w:rPr>
          <w:rFonts w:ascii="Century Gothic" w:eastAsia="Times New Roman" w:hAnsi="Century Gothic" w:cs="Open Sans"/>
          <w:b/>
          <w:bCs/>
          <w:color w:val="000000" w:themeColor="text1"/>
          <w:sz w:val="24"/>
          <w:szCs w:val="24"/>
          <w:lang w:val="es-CR"/>
        </w:rPr>
        <w:t>Asociación Panameña de Derecho y Nuevas Tecnologías (APANDETEC)</w:t>
      </w:r>
    </w:p>
    <w:p w14:paraId="0B098B6E" w14:textId="23B59499" w:rsidR="003D2409" w:rsidRDefault="003D2409" w:rsidP="003866E9">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3866E9">
        <w:rPr>
          <w:rFonts w:ascii="Century Gothic" w:eastAsia="Times New Roman" w:hAnsi="Century Gothic" w:cs="Open Sans"/>
          <w:b/>
          <w:bCs/>
          <w:color w:val="000000" w:themeColor="text1"/>
          <w:sz w:val="24"/>
          <w:szCs w:val="24"/>
          <w:lang w:val="es-CR"/>
        </w:rPr>
        <w:t>Cable &amp; Wireless Panamá</w:t>
      </w:r>
    </w:p>
    <w:p w14:paraId="47F4BD01" w14:textId="5CE31AD7" w:rsidR="003866E9" w:rsidRDefault="003866E9" w:rsidP="003866E9">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3866E9">
        <w:rPr>
          <w:rFonts w:ascii="Century Gothic" w:eastAsia="Times New Roman" w:hAnsi="Century Gothic" w:cs="Open Sans"/>
          <w:b/>
          <w:bCs/>
          <w:color w:val="000000" w:themeColor="text1"/>
          <w:sz w:val="24"/>
          <w:szCs w:val="24"/>
          <w:lang w:val="es-CR"/>
        </w:rPr>
        <w:t>Internet Society – Capítulo Panamá (ISOC Panamá)</w:t>
      </w:r>
    </w:p>
    <w:p w14:paraId="0F899C86" w14:textId="6DDE6C5E" w:rsidR="003866E9" w:rsidRPr="003866E9" w:rsidRDefault="003866E9" w:rsidP="003866E9">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3866E9">
        <w:rPr>
          <w:rFonts w:ascii="Century Gothic" w:eastAsia="Times New Roman" w:hAnsi="Century Gothic" w:cs="Open Sans"/>
          <w:b/>
          <w:bCs/>
          <w:color w:val="000000" w:themeColor="text1"/>
          <w:sz w:val="24"/>
          <w:szCs w:val="24"/>
          <w:lang w:val="es-CR"/>
        </w:rPr>
        <w:t>Asociación Panameña de Peritos en Informática Forense (APPIF)</w:t>
      </w:r>
    </w:p>
    <w:p w14:paraId="2AB4E8EC" w14:textId="16726008" w:rsidR="003866E9" w:rsidRDefault="003866E9" w:rsidP="003866E9">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Pr>
          <w:rFonts w:ascii="Century Gothic" w:eastAsia="Times New Roman" w:hAnsi="Century Gothic" w:cs="Open Sans"/>
          <w:b/>
          <w:bCs/>
          <w:color w:val="000000" w:themeColor="text1"/>
          <w:sz w:val="24"/>
          <w:szCs w:val="24"/>
          <w:lang w:val="es-CR"/>
        </w:rPr>
        <w:t>Instituto</w:t>
      </w:r>
      <w:r w:rsidRPr="003866E9">
        <w:rPr>
          <w:rFonts w:ascii="Century Gothic" w:eastAsia="Times New Roman" w:hAnsi="Century Gothic" w:cs="Open Sans"/>
          <w:b/>
          <w:bCs/>
          <w:color w:val="000000" w:themeColor="text1"/>
          <w:sz w:val="24"/>
          <w:szCs w:val="24"/>
          <w:lang w:val="es-CR"/>
        </w:rPr>
        <w:t xml:space="preserve"> Panameña de Derecho y Nuevas Tecnologías</w:t>
      </w:r>
      <w:r>
        <w:rPr>
          <w:rFonts w:ascii="Century Gothic" w:eastAsia="Times New Roman" w:hAnsi="Century Gothic" w:cs="Open Sans"/>
          <w:b/>
          <w:bCs/>
          <w:color w:val="000000" w:themeColor="text1"/>
          <w:sz w:val="24"/>
          <w:szCs w:val="24"/>
          <w:lang w:val="es-CR"/>
        </w:rPr>
        <w:t xml:space="preserve"> </w:t>
      </w:r>
    </w:p>
    <w:p w14:paraId="3CDAD06C" w14:textId="74269C83" w:rsidR="003866E9" w:rsidRDefault="003866E9" w:rsidP="003866E9">
      <w:pPr>
        <w:jc w:val="both"/>
        <w:textAlignment w:val="baseline"/>
        <w:rPr>
          <w:rFonts w:ascii="Century Gothic" w:eastAsia="Times New Roman" w:hAnsi="Century Gothic" w:cs="Open Sans"/>
          <w:b/>
          <w:bCs/>
          <w:color w:val="000000" w:themeColor="text1"/>
          <w:sz w:val="24"/>
          <w:szCs w:val="24"/>
          <w:lang w:val="es-CR"/>
        </w:rPr>
      </w:pPr>
    </w:p>
    <w:p w14:paraId="7BBA71E3" w14:textId="7AD69DD8" w:rsidR="003866E9" w:rsidRDefault="003866E9" w:rsidP="003866E9">
      <w:pPr>
        <w:pStyle w:val="Ttulo3"/>
        <w:rPr>
          <w:rFonts w:ascii="Century Gothic" w:hAnsi="Century Gothic"/>
          <w:color w:val="000000" w:themeColor="text1"/>
        </w:rPr>
      </w:pPr>
      <w:bookmarkStart w:id="16" w:name="_Toc100251362"/>
      <w:r>
        <w:rPr>
          <w:rFonts w:ascii="Century Gothic" w:hAnsi="Century Gothic"/>
          <w:color w:val="000000" w:themeColor="text1"/>
        </w:rPr>
        <w:t>Transparencia y lucha contra la corrupción</w:t>
      </w:r>
      <w:bookmarkEnd w:id="16"/>
    </w:p>
    <w:p w14:paraId="6ED9F481" w14:textId="77777777" w:rsidR="003866E9" w:rsidRPr="003866E9" w:rsidRDefault="003866E9" w:rsidP="003866E9"/>
    <w:p w14:paraId="3E166200" w14:textId="7BD1949F" w:rsidR="003866E9" w:rsidRPr="003866E9" w:rsidRDefault="003866E9" w:rsidP="003866E9">
      <w:pPr>
        <w:jc w:val="both"/>
        <w:textAlignment w:val="baseline"/>
        <w:rPr>
          <w:rFonts w:ascii="Century Gothic" w:eastAsia="Times New Roman" w:hAnsi="Century Gothic" w:cs="Open Sans"/>
          <w:b/>
          <w:bCs/>
          <w:color w:val="000000" w:themeColor="text1"/>
          <w:sz w:val="24"/>
          <w:szCs w:val="24"/>
          <w:lang w:val="es-CR"/>
        </w:rPr>
      </w:pPr>
      <w:r>
        <w:rPr>
          <w:rFonts w:ascii="Century Gothic" w:eastAsia="Times New Roman" w:hAnsi="Century Gothic" w:cs="Open Sans"/>
          <w:b/>
          <w:bCs/>
          <w:color w:val="000000" w:themeColor="text1"/>
          <w:sz w:val="24"/>
          <w:szCs w:val="24"/>
          <w:lang w:val="es-CR"/>
        </w:rPr>
        <w:lastRenderedPageBreak/>
        <w:tab/>
      </w:r>
      <w:r>
        <w:rPr>
          <w:rFonts w:ascii="Century Gothic" w:hAnsi="Century Gothic"/>
          <w:sz w:val="24"/>
          <w:szCs w:val="24"/>
        </w:rPr>
        <w:t xml:space="preserve">A continuación, se enlistan los actores que actualmente colaboran con el Gobierno de Panamá en asuntos de Gobierno Abierto y Datos Abiertos y cuya experiencia es en el área de </w:t>
      </w:r>
      <w:r w:rsidR="0067420F">
        <w:rPr>
          <w:rFonts w:ascii="Century Gothic" w:hAnsi="Century Gothic"/>
          <w:sz w:val="24"/>
          <w:szCs w:val="24"/>
        </w:rPr>
        <w:t>transparencia y lucha contra la corrupción</w:t>
      </w:r>
      <w:r>
        <w:rPr>
          <w:rFonts w:ascii="Century Gothic" w:hAnsi="Century Gothic"/>
          <w:sz w:val="24"/>
          <w:szCs w:val="24"/>
        </w:rPr>
        <w:t>:</w:t>
      </w:r>
    </w:p>
    <w:p w14:paraId="76885805" w14:textId="67A5B3D2" w:rsidR="003866E9" w:rsidRDefault="003866E9" w:rsidP="003866E9">
      <w:pPr>
        <w:jc w:val="both"/>
        <w:textAlignment w:val="baseline"/>
        <w:rPr>
          <w:rFonts w:ascii="Century Gothic" w:eastAsia="Times New Roman" w:hAnsi="Century Gothic" w:cs="Open Sans"/>
          <w:b/>
          <w:bCs/>
          <w:color w:val="000000" w:themeColor="text1"/>
          <w:sz w:val="24"/>
          <w:szCs w:val="24"/>
          <w:lang w:val="es-CR"/>
        </w:rPr>
      </w:pPr>
    </w:p>
    <w:p w14:paraId="023B1497" w14:textId="14370E8C" w:rsidR="003866E9" w:rsidRPr="003866E9" w:rsidRDefault="002C1E83" w:rsidP="003866E9">
      <w:pPr>
        <w:pStyle w:val="Prrafodelista"/>
        <w:numPr>
          <w:ilvl w:val="0"/>
          <w:numId w:val="29"/>
        </w:numPr>
        <w:jc w:val="both"/>
        <w:textAlignment w:val="baseline"/>
        <w:rPr>
          <w:rFonts w:ascii="Century Gothic" w:hAnsi="Century Gothic" w:cs="Open Sans"/>
          <w:b/>
          <w:bCs/>
          <w:color w:val="000000" w:themeColor="text1"/>
          <w:sz w:val="24"/>
          <w:szCs w:val="24"/>
        </w:rPr>
      </w:pPr>
      <w:hyperlink r:id="rId14" w:history="1">
        <w:r w:rsidR="003866E9" w:rsidRPr="003866E9">
          <w:rPr>
            <w:rStyle w:val="Hipervnculo"/>
            <w:rFonts w:ascii="Century Gothic" w:hAnsi="Century Gothic" w:cs="Open Sans"/>
            <w:b/>
            <w:bCs/>
            <w:color w:val="000000" w:themeColor="text1"/>
            <w:sz w:val="24"/>
            <w:szCs w:val="24"/>
            <w:u w:val="none"/>
            <w:bdr w:val="none" w:sz="0" w:space="0" w:color="auto" w:frame="1"/>
          </w:rPr>
          <w:t>Fundación para el Desarrollo de la Libertad Ciudadana, Capítulo Panameño de Transparencia Internacional</w:t>
        </w:r>
      </w:hyperlink>
      <w:r w:rsidR="003866E9" w:rsidRPr="003866E9">
        <w:rPr>
          <w:rStyle w:val="apple-converted-space"/>
          <w:rFonts w:ascii="Century Gothic" w:hAnsi="Century Gothic" w:cs="Open Sans"/>
          <w:b/>
          <w:bCs/>
          <w:color w:val="000000" w:themeColor="text1"/>
          <w:sz w:val="24"/>
          <w:szCs w:val="24"/>
        </w:rPr>
        <w:t> </w:t>
      </w:r>
    </w:p>
    <w:p w14:paraId="6CEAC6B7" w14:textId="77777777" w:rsidR="003866E9" w:rsidRPr="003866E9" w:rsidRDefault="002C1E83" w:rsidP="003866E9">
      <w:pPr>
        <w:pStyle w:val="Prrafodelista"/>
        <w:numPr>
          <w:ilvl w:val="0"/>
          <w:numId w:val="29"/>
        </w:numPr>
        <w:jc w:val="both"/>
        <w:textAlignment w:val="baseline"/>
        <w:rPr>
          <w:rFonts w:ascii="Century Gothic" w:hAnsi="Century Gothic" w:cs="Open Sans"/>
          <w:b/>
          <w:bCs/>
          <w:color w:val="000000" w:themeColor="text1"/>
          <w:sz w:val="24"/>
          <w:szCs w:val="24"/>
        </w:rPr>
      </w:pPr>
      <w:hyperlink r:id="rId15" w:history="1">
        <w:r w:rsidR="003866E9" w:rsidRPr="003866E9">
          <w:rPr>
            <w:rStyle w:val="Hipervnculo"/>
            <w:rFonts w:ascii="Century Gothic" w:hAnsi="Century Gothic" w:cs="Open Sans"/>
            <w:b/>
            <w:bCs/>
            <w:color w:val="000000" w:themeColor="text1"/>
            <w:sz w:val="24"/>
            <w:szCs w:val="24"/>
            <w:u w:val="none"/>
            <w:bdr w:val="none" w:sz="0" w:space="0" w:color="auto" w:frame="1"/>
          </w:rPr>
          <w:t>Movimiento Independiente por Panamá</w:t>
        </w:r>
      </w:hyperlink>
    </w:p>
    <w:p w14:paraId="35A800C7" w14:textId="2CB504C9" w:rsidR="003866E9" w:rsidRDefault="002C1E83" w:rsidP="003866E9">
      <w:pPr>
        <w:pStyle w:val="Prrafodelista"/>
        <w:numPr>
          <w:ilvl w:val="0"/>
          <w:numId w:val="29"/>
        </w:numPr>
        <w:jc w:val="both"/>
        <w:textAlignment w:val="baseline"/>
        <w:rPr>
          <w:rFonts w:ascii="Century Gothic" w:hAnsi="Century Gothic" w:cs="Open Sans"/>
          <w:b/>
          <w:bCs/>
          <w:color w:val="000000" w:themeColor="text1"/>
          <w:sz w:val="24"/>
          <w:szCs w:val="24"/>
        </w:rPr>
      </w:pPr>
      <w:hyperlink r:id="rId16" w:history="1">
        <w:r w:rsidR="003866E9" w:rsidRPr="003866E9">
          <w:rPr>
            <w:rStyle w:val="Hipervnculo"/>
            <w:rFonts w:ascii="Century Gothic" w:hAnsi="Century Gothic" w:cs="Open Sans"/>
            <w:b/>
            <w:bCs/>
            <w:color w:val="000000" w:themeColor="text1"/>
            <w:sz w:val="24"/>
            <w:szCs w:val="24"/>
            <w:u w:val="none"/>
            <w:bdr w:val="none" w:sz="0" w:space="0" w:color="auto" w:frame="1"/>
          </w:rPr>
          <w:t>Alianza Ciudadana Pro Justicia</w:t>
        </w:r>
      </w:hyperlink>
      <w:r w:rsidR="00E06FBF">
        <w:rPr>
          <w:rStyle w:val="apple-converted-space"/>
          <w:rFonts w:ascii="Century Gothic" w:hAnsi="Century Gothic" w:cs="Open Sans"/>
          <w:b/>
          <w:bCs/>
          <w:color w:val="000000" w:themeColor="text1"/>
          <w:sz w:val="24"/>
          <w:szCs w:val="24"/>
        </w:rPr>
        <w:t xml:space="preserve"> </w:t>
      </w:r>
      <w:r w:rsidR="003866E9" w:rsidRPr="003866E9">
        <w:rPr>
          <w:rFonts w:ascii="Century Gothic" w:hAnsi="Century Gothic" w:cs="Open Sans"/>
          <w:b/>
          <w:bCs/>
          <w:color w:val="000000" w:themeColor="text1"/>
          <w:sz w:val="24"/>
          <w:szCs w:val="24"/>
        </w:rPr>
        <w:t>– Nacional</w:t>
      </w:r>
    </w:p>
    <w:p w14:paraId="4EB1489A" w14:textId="60428DAB" w:rsidR="003866E9" w:rsidRDefault="003866E9" w:rsidP="00E06FBF">
      <w:pPr>
        <w:pStyle w:val="Prrafodelista"/>
        <w:numPr>
          <w:ilvl w:val="0"/>
          <w:numId w:val="29"/>
        </w:numPr>
        <w:jc w:val="both"/>
        <w:textAlignment w:val="baseline"/>
        <w:rPr>
          <w:rFonts w:ascii="Century Gothic" w:hAnsi="Century Gothic" w:cs="Open Sans"/>
          <w:b/>
          <w:bCs/>
          <w:color w:val="000000" w:themeColor="text1"/>
          <w:sz w:val="24"/>
          <w:szCs w:val="24"/>
        </w:rPr>
      </w:pPr>
      <w:r>
        <w:rPr>
          <w:rFonts w:ascii="Century Gothic" w:hAnsi="Century Gothic" w:cs="Open Sans"/>
          <w:b/>
          <w:bCs/>
          <w:color w:val="000000" w:themeColor="text1"/>
          <w:sz w:val="24"/>
          <w:szCs w:val="24"/>
        </w:rPr>
        <w:t>Fundación Generación Sin Límite</w:t>
      </w:r>
    </w:p>
    <w:p w14:paraId="7441AFE3" w14:textId="60ADBD2E" w:rsidR="009E1D1A" w:rsidRDefault="009E1D1A" w:rsidP="00E06FBF">
      <w:pPr>
        <w:pStyle w:val="Prrafodelista"/>
        <w:numPr>
          <w:ilvl w:val="0"/>
          <w:numId w:val="29"/>
        </w:numPr>
        <w:jc w:val="both"/>
        <w:textAlignment w:val="baseline"/>
        <w:rPr>
          <w:rFonts w:ascii="Century Gothic" w:hAnsi="Century Gothic" w:cs="Open Sans"/>
          <w:b/>
          <w:bCs/>
          <w:color w:val="000000" w:themeColor="text1"/>
          <w:sz w:val="24"/>
          <w:szCs w:val="24"/>
        </w:rPr>
      </w:pPr>
      <w:r>
        <w:rPr>
          <w:rFonts w:ascii="Century Gothic" w:hAnsi="Century Gothic" w:cs="Open Sans"/>
          <w:b/>
          <w:bCs/>
          <w:color w:val="000000" w:themeColor="text1"/>
          <w:sz w:val="24"/>
          <w:szCs w:val="24"/>
        </w:rPr>
        <w:t>Fundación Espacio Cívico</w:t>
      </w:r>
    </w:p>
    <w:p w14:paraId="7FBADA54" w14:textId="77777777" w:rsidR="00F81E16" w:rsidRPr="009E1D1A" w:rsidRDefault="00F81E16" w:rsidP="009E1D1A">
      <w:pPr>
        <w:ind w:left="720"/>
        <w:jc w:val="both"/>
        <w:textAlignment w:val="baseline"/>
        <w:rPr>
          <w:rFonts w:ascii="Century Gothic" w:hAnsi="Century Gothic" w:cs="Open Sans"/>
          <w:b/>
          <w:bCs/>
          <w:color w:val="000000" w:themeColor="text1"/>
          <w:sz w:val="24"/>
          <w:szCs w:val="24"/>
        </w:rPr>
      </w:pPr>
    </w:p>
    <w:p w14:paraId="5FB091D3" w14:textId="4021991D" w:rsidR="0067420F" w:rsidRDefault="0067420F" w:rsidP="0067420F">
      <w:pPr>
        <w:pStyle w:val="Ttulo3"/>
        <w:rPr>
          <w:rFonts w:ascii="Century Gothic" w:hAnsi="Century Gothic"/>
          <w:color w:val="000000" w:themeColor="text1"/>
        </w:rPr>
      </w:pPr>
      <w:bookmarkStart w:id="17" w:name="_Toc100251363"/>
      <w:r>
        <w:rPr>
          <w:rFonts w:ascii="Century Gothic" w:hAnsi="Century Gothic"/>
          <w:color w:val="000000" w:themeColor="text1"/>
        </w:rPr>
        <w:t>Otros sectores:</w:t>
      </w:r>
      <w:bookmarkEnd w:id="17"/>
    </w:p>
    <w:p w14:paraId="2A477108" w14:textId="4C933207" w:rsidR="003866E9" w:rsidRDefault="003866E9" w:rsidP="003866E9">
      <w:pPr>
        <w:jc w:val="both"/>
        <w:textAlignment w:val="baseline"/>
        <w:rPr>
          <w:rFonts w:ascii="Century Gothic" w:eastAsia="Times New Roman" w:hAnsi="Century Gothic" w:cs="Open Sans"/>
          <w:b/>
          <w:bCs/>
          <w:color w:val="000000" w:themeColor="text1"/>
          <w:sz w:val="24"/>
          <w:szCs w:val="24"/>
          <w:lang w:val="es-CR"/>
        </w:rPr>
      </w:pPr>
    </w:p>
    <w:p w14:paraId="67E9EBA5" w14:textId="0F431D8B" w:rsidR="0067420F" w:rsidRPr="006F345A" w:rsidRDefault="0067420F" w:rsidP="0067420F">
      <w:pPr>
        <w:ind w:firstLine="720"/>
        <w:jc w:val="both"/>
        <w:textAlignment w:val="baseline"/>
        <w:rPr>
          <w:rFonts w:ascii="Century Gothic" w:hAnsi="Century Gothic"/>
          <w:sz w:val="24"/>
          <w:szCs w:val="24"/>
        </w:rPr>
      </w:pPr>
      <w:r w:rsidRPr="006F345A">
        <w:rPr>
          <w:rFonts w:ascii="Century Gothic" w:hAnsi="Century Gothic"/>
          <w:sz w:val="24"/>
          <w:szCs w:val="24"/>
        </w:rPr>
        <w:t>A continuación, se enlistan actores que actualmente colaboran con el Gobierno de Panamá en asuntos de Gobierno Abierto y Datos Abiertos y cuya experiencia es en otras áreas programáticas o sectores:</w:t>
      </w:r>
    </w:p>
    <w:p w14:paraId="1CD1268E" w14:textId="77777777" w:rsidR="0067420F" w:rsidRPr="006F345A" w:rsidRDefault="0067420F" w:rsidP="0067420F">
      <w:pPr>
        <w:ind w:firstLine="720"/>
        <w:jc w:val="both"/>
        <w:textAlignment w:val="baseline"/>
        <w:rPr>
          <w:rFonts w:ascii="Century Gothic" w:eastAsia="Times New Roman" w:hAnsi="Century Gothic" w:cs="Open Sans"/>
          <w:b/>
          <w:bCs/>
          <w:color w:val="000000" w:themeColor="text1"/>
          <w:sz w:val="24"/>
          <w:szCs w:val="24"/>
          <w:lang w:val="es-CR"/>
        </w:rPr>
      </w:pPr>
    </w:p>
    <w:p w14:paraId="5AF070CE" w14:textId="05C5567F" w:rsidR="003866E9" w:rsidRPr="006F345A" w:rsidRDefault="003866E9" w:rsidP="0067420F">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6F345A">
        <w:rPr>
          <w:rFonts w:ascii="Century Gothic" w:eastAsia="Times New Roman" w:hAnsi="Century Gothic" w:cs="Open Sans"/>
          <w:b/>
          <w:bCs/>
          <w:color w:val="000000" w:themeColor="text1"/>
          <w:sz w:val="24"/>
          <w:szCs w:val="24"/>
          <w:lang w:val="es-CR"/>
        </w:rPr>
        <w:t>Sector educación</w:t>
      </w:r>
    </w:p>
    <w:p w14:paraId="09E99849" w14:textId="77777777" w:rsidR="0067420F" w:rsidRPr="006F345A" w:rsidRDefault="0067420F" w:rsidP="0067420F">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r w:rsidRPr="006F345A">
        <w:rPr>
          <w:rFonts w:ascii="Century Gothic" w:eastAsia="Times New Roman" w:hAnsi="Century Gothic" w:cs="Open Sans"/>
          <w:b/>
          <w:bCs/>
          <w:color w:val="000000" w:themeColor="text1"/>
          <w:sz w:val="24"/>
          <w:szCs w:val="24"/>
          <w:lang w:val="es-CR"/>
        </w:rPr>
        <w:t>Centro de Incidencia Ambiental</w:t>
      </w:r>
    </w:p>
    <w:p w14:paraId="7C015009" w14:textId="36EB24F1" w:rsidR="00A26CEB" w:rsidRPr="006F345A" w:rsidRDefault="002C1E83" w:rsidP="0067420F">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hyperlink r:id="rId17" w:history="1">
        <w:r w:rsidR="00A26CEB" w:rsidRPr="006F345A">
          <w:rPr>
            <w:rStyle w:val="Hipervnculo"/>
            <w:rFonts w:ascii="Century Gothic" w:hAnsi="Century Gothic" w:cs="Open Sans"/>
            <w:b/>
            <w:bCs/>
            <w:color w:val="000000" w:themeColor="text1"/>
            <w:sz w:val="24"/>
            <w:szCs w:val="24"/>
            <w:u w:val="none"/>
            <w:bdr w:val="none" w:sz="0" w:space="0" w:color="auto" w:frame="1"/>
          </w:rPr>
          <w:t>Organización Juntos Decidimos</w:t>
        </w:r>
      </w:hyperlink>
    </w:p>
    <w:p w14:paraId="6F530BC7" w14:textId="2DF34C8B" w:rsidR="0067420F" w:rsidRPr="006F345A" w:rsidRDefault="0067420F" w:rsidP="0067420F">
      <w:pPr>
        <w:pStyle w:val="Prrafodelista"/>
        <w:numPr>
          <w:ilvl w:val="0"/>
          <w:numId w:val="29"/>
        </w:numPr>
        <w:jc w:val="both"/>
        <w:textAlignment w:val="baseline"/>
        <w:rPr>
          <w:rFonts w:ascii="Century Gothic" w:eastAsia="Times New Roman" w:hAnsi="Century Gothic" w:cs="Open Sans"/>
          <w:b/>
          <w:bCs/>
          <w:color w:val="000000" w:themeColor="text1"/>
          <w:sz w:val="24"/>
          <w:szCs w:val="24"/>
          <w:lang w:val="es-CR"/>
        </w:rPr>
      </w:pPr>
      <w:proofErr w:type="spellStart"/>
      <w:r w:rsidRPr="006F345A">
        <w:rPr>
          <w:rFonts w:ascii="Century Gothic" w:hAnsi="Century Gothic" w:cs="Open Sans"/>
          <w:b/>
          <w:bCs/>
          <w:color w:val="000000" w:themeColor="text1"/>
          <w:sz w:val="24"/>
          <w:szCs w:val="24"/>
        </w:rPr>
        <w:t>Kernel</w:t>
      </w:r>
      <w:proofErr w:type="spellEnd"/>
      <w:r w:rsidRPr="006F345A">
        <w:rPr>
          <w:rFonts w:ascii="Century Gothic" w:hAnsi="Century Gothic" w:cs="Open Sans"/>
          <w:b/>
          <w:bCs/>
          <w:color w:val="000000" w:themeColor="text1"/>
          <w:sz w:val="24"/>
          <w:szCs w:val="24"/>
        </w:rPr>
        <w:t xml:space="preserve"> </w:t>
      </w:r>
      <w:proofErr w:type="spellStart"/>
      <w:r w:rsidRPr="006F345A">
        <w:rPr>
          <w:rFonts w:ascii="Century Gothic" w:hAnsi="Century Gothic" w:cs="Open Sans"/>
          <w:b/>
          <w:bCs/>
          <w:color w:val="000000" w:themeColor="text1"/>
          <w:sz w:val="24"/>
          <w:szCs w:val="24"/>
        </w:rPr>
        <w:t>Community</w:t>
      </w:r>
      <w:proofErr w:type="spellEnd"/>
      <w:r w:rsidRPr="006F345A">
        <w:rPr>
          <w:rFonts w:ascii="Century Gothic" w:hAnsi="Century Gothic" w:cs="Open Sans"/>
          <w:b/>
          <w:bCs/>
          <w:color w:val="000000" w:themeColor="text1"/>
          <w:sz w:val="24"/>
          <w:szCs w:val="24"/>
        </w:rPr>
        <w:t xml:space="preserve"> </w:t>
      </w:r>
      <w:proofErr w:type="spellStart"/>
      <w:r w:rsidRPr="006F345A">
        <w:rPr>
          <w:rFonts w:ascii="Century Gothic" w:hAnsi="Century Gothic" w:cs="Open Sans"/>
          <w:b/>
          <w:bCs/>
          <w:color w:val="000000" w:themeColor="text1"/>
          <w:sz w:val="24"/>
          <w:szCs w:val="24"/>
        </w:rPr>
        <w:t>Think</w:t>
      </w:r>
      <w:proofErr w:type="spellEnd"/>
      <w:r w:rsidRPr="006F345A">
        <w:rPr>
          <w:rFonts w:ascii="Century Gothic" w:hAnsi="Century Gothic" w:cs="Open Sans"/>
          <w:b/>
          <w:bCs/>
          <w:color w:val="000000" w:themeColor="text1"/>
          <w:sz w:val="24"/>
          <w:szCs w:val="24"/>
        </w:rPr>
        <w:t xml:space="preserve"> </w:t>
      </w:r>
      <w:proofErr w:type="spellStart"/>
      <w:r w:rsidRPr="006F345A">
        <w:rPr>
          <w:rFonts w:ascii="Century Gothic" w:hAnsi="Century Gothic" w:cs="Open Sans"/>
          <w:b/>
          <w:bCs/>
          <w:color w:val="000000" w:themeColor="text1"/>
          <w:sz w:val="24"/>
          <w:szCs w:val="24"/>
        </w:rPr>
        <w:t>Tank</w:t>
      </w:r>
      <w:proofErr w:type="spellEnd"/>
    </w:p>
    <w:p w14:paraId="47AD7579" w14:textId="77777777" w:rsidR="00ED1AE3" w:rsidRDefault="00ED1AE3" w:rsidP="00E06FBF">
      <w:pPr>
        <w:jc w:val="both"/>
        <w:rPr>
          <w:rFonts w:ascii="Century Gothic" w:hAnsi="Century Gothic"/>
          <w:color w:val="000000" w:themeColor="text1"/>
          <w:sz w:val="24"/>
          <w:szCs w:val="24"/>
        </w:rPr>
      </w:pPr>
    </w:p>
    <w:p w14:paraId="3DA06519" w14:textId="64806FFB" w:rsidR="006F345A" w:rsidRDefault="006F345A" w:rsidP="006F345A">
      <w:pPr>
        <w:ind w:firstLine="720"/>
        <w:jc w:val="both"/>
        <w:rPr>
          <w:rFonts w:ascii="Century Gothic" w:hAnsi="Century Gothic"/>
          <w:color w:val="000000" w:themeColor="text1"/>
          <w:sz w:val="24"/>
          <w:szCs w:val="24"/>
        </w:rPr>
      </w:pPr>
      <w:r>
        <w:rPr>
          <w:rFonts w:ascii="Century Gothic" w:hAnsi="Century Gothic"/>
          <w:color w:val="000000" w:themeColor="text1"/>
          <w:sz w:val="24"/>
          <w:szCs w:val="24"/>
        </w:rPr>
        <w:t>Se sugiere valorar otros actores de la Academia como la Universidad de Panamá</w:t>
      </w:r>
      <w:r w:rsidR="00ED1AE3">
        <w:rPr>
          <w:rFonts w:ascii="Century Gothic" w:hAnsi="Century Gothic"/>
          <w:color w:val="000000" w:themeColor="text1"/>
          <w:sz w:val="24"/>
          <w:szCs w:val="24"/>
        </w:rPr>
        <w:t xml:space="preserve">; </w:t>
      </w:r>
      <w:r w:rsidR="00BC1608">
        <w:rPr>
          <w:rFonts w:ascii="Century Gothic" w:hAnsi="Century Gothic"/>
          <w:color w:val="000000" w:themeColor="text1"/>
          <w:sz w:val="24"/>
          <w:szCs w:val="24"/>
        </w:rPr>
        <w:t>de sociedad civil APADICOS que trabajan en el área de participación y comunicación social. Además</w:t>
      </w:r>
      <w:r w:rsidR="00ED1AE3">
        <w:rPr>
          <w:rFonts w:ascii="Century Gothic" w:hAnsi="Century Gothic"/>
          <w:color w:val="000000" w:themeColor="text1"/>
          <w:sz w:val="24"/>
          <w:szCs w:val="24"/>
        </w:rPr>
        <w:t>,</w:t>
      </w:r>
      <w:r w:rsidR="00BC1608">
        <w:rPr>
          <w:rFonts w:ascii="Century Gothic" w:hAnsi="Century Gothic"/>
          <w:color w:val="000000" w:themeColor="text1"/>
          <w:sz w:val="24"/>
          <w:szCs w:val="24"/>
        </w:rPr>
        <w:t xml:space="preserve"> es necesario identificar actores del sector privado</w:t>
      </w:r>
      <w:r w:rsidR="00ED1AE3">
        <w:rPr>
          <w:rFonts w:ascii="Century Gothic" w:hAnsi="Century Gothic"/>
          <w:color w:val="000000" w:themeColor="text1"/>
          <w:sz w:val="24"/>
          <w:szCs w:val="24"/>
        </w:rPr>
        <w:t>, por lo que se sugiere valorar un acercamiento con cámaras empresariales asociadas al desarrollo tecnológico e infraestructura, u otras que tengan compromisos públicos con la transparencia y anticorrupción.</w:t>
      </w:r>
    </w:p>
    <w:p w14:paraId="2E54E5E6" w14:textId="668FD81C" w:rsidR="00ED1AE3" w:rsidRDefault="00ED1AE3" w:rsidP="006F345A">
      <w:pPr>
        <w:ind w:firstLine="720"/>
        <w:jc w:val="both"/>
        <w:rPr>
          <w:rFonts w:ascii="Century Gothic" w:hAnsi="Century Gothic"/>
          <w:color w:val="000000" w:themeColor="text1"/>
          <w:sz w:val="24"/>
          <w:szCs w:val="24"/>
        </w:rPr>
      </w:pPr>
    </w:p>
    <w:p w14:paraId="37628D9A" w14:textId="15423A1A" w:rsidR="003F7B03" w:rsidRDefault="003F7B03" w:rsidP="006F345A">
      <w:pPr>
        <w:ind w:firstLine="720"/>
        <w:jc w:val="both"/>
        <w:rPr>
          <w:rFonts w:ascii="Century Gothic" w:hAnsi="Century Gothic"/>
          <w:color w:val="000000" w:themeColor="text1"/>
          <w:sz w:val="24"/>
          <w:szCs w:val="24"/>
        </w:rPr>
      </w:pPr>
      <w:r>
        <w:rPr>
          <w:rFonts w:ascii="Century Gothic" w:hAnsi="Century Gothic"/>
          <w:color w:val="000000" w:themeColor="text1"/>
          <w:sz w:val="24"/>
          <w:szCs w:val="24"/>
        </w:rPr>
        <w:t>En un primer mapeo construido por ANTAI se identifica un primer grupo de instituciones responsables de generar, publicar y actualizar los 30 conjuntos de datos prioritarios en el marco del PIDA:</w:t>
      </w:r>
    </w:p>
    <w:p w14:paraId="28BBC393" w14:textId="0B41C615" w:rsidR="003F7B03" w:rsidRDefault="003F7B03" w:rsidP="006F345A">
      <w:pPr>
        <w:ind w:firstLine="720"/>
        <w:jc w:val="both"/>
        <w:rPr>
          <w:rFonts w:ascii="Century Gothic" w:hAnsi="Century Gothic"/>
          <w:color w:val="000000" w:themeColor="text1"/>
          <w:sz w:val="24"/>
          <w:szCs w:val="24"/>
        </w:rPr>
      </w:pPr>
    </w:p>
    <w:p w14:paraId="7558D171" w14:textId="6B67D6A2" w:rsidR="009468AA" w:rsidRDefault="009468AA" w:rsidP="006F345A">
      <w:pPr>
        <w:ind w:firstLine="720"/>
        <w:jc w:val="both"/>
        <w:rPr>
          <w:rFonts w:ascii="Century Gothic" w:hAnsi="Century Gothic"/>
          <w:color w:val="000000" w:themeColor="text1"/>
          <w:sz w:val="24"/>
          <w:szCs w:val="24"/>
        </w:rPr>
      </w:pPr>
    </w:p>
    <w:p w14:paraId="09A1E4FD" w14:textId="22DA7330" w:rsidR="009468AA" w:rsidRDefault="009468AA" w:rsidP="006F345A">
      <w:pPr>
        <w:ind w:firstLine="720"/>
        <w:jc w:val="both"/>
        <w:rPr>
          <w:rFonts w:ascii="Century Gothic" w:hAnsi="Century Gothic"/>
          <w:color w:val="000000" w:themeColor="text1"/>
          <w:sz w:val="24"/>
          <w:szCs w:val="24"/>
        </w:rPr>
      </w:pPr>
    </w:p>
    <w:p w14:paraId="3181B189" w14:textId="578497FB" w:rsidR="009468AA" w:rsidRDefault="009468AA" w:rsidP="006F345A">
      <w:pPr>
        <w:ind w:firstLine="720"/>
        <w:jc w:val="both"/>
        <w:rPr>
          <w:rFonts w:ascii="Century Gothic" w:hAnsi="Century Gothic"/>
          <w:color w:val="000000" w:themeColor="text1"/>
          <w:sz w:val="24"/>
          <w:szCs w:val="24"/>
        </w:rPr>
      </w:pPr>
    </w:p>
    <w:p w14:paraId="14C74F67" w14:textId="3D3DE661" w:rsidR="009468AA" w:rsidRDefault="009468AA" w:rsidP="006F345A">
      <w:pPr>
        <w:ind w:firstLine="720"/>
        <w:jc w:val="both"/>
        <w:rPr>
          <w:rFonts w:ascii="Century Gothic" w:hAnsi="Century Gothic"/>
          <w:color w:val="000000" w:themeColor="text1"/>
          <w:sz w:val="24"/>
          <w:szCs w:val="24"/>
        </w:rPr>
      </w:pPr>
    </w:p>
    <w:p w14:paraId="0ABBE76A" w14:textId="65A98E9E" w:rsidR="009468AA" w:rsidRDefault="009468AA" w:rsidP="006F345A">
      <w:pPr>
        <w:ind w:firstLine="720"/>
        <w:jc w:val="both"/>
        <w:rPr>
          <w:rFonts w:ascii="Century Gothic" w:hAnsi="Century Gothic"/>
          <w:color w:val="000000" w:themeColor="text1"/>
          <w:sz w:val="24"/>
          <w:szCs w:val="24"/>
        </w:rPr>
      </w:pPr>
    </w:p>
    <w:p w14:paraId="34D13DAF" w14:textId="5A3826D5" w:rsidR="009468AA" w:rsidRDefault="009468AA" w:rsidP="006F345A">
      <w:pPr>
        <w:ind w:firstLine="720"/>
        <w:jc w:val="both"/>
        <w:rPr>
          <w:rFonts w:ascii="Century Gothic" w:hAnsi="Century Gothic"/>
          <w:color w:val="000000" w:themeColor="text1"/>
          <w:sz w:val="24"/>
          <w:szCs w:val="24"/>
        </w:rPr>
      </w:pPr>
    </w:p>
    <w:p w14:paraId="3736A56D" w14:textId="77777777" w:rsidR="009468AA" w:rsidRDefault="009468AA" w:rsidP="006F345A">
      <w:pPr>
        <w:ind w:firstLine="720"/>
        <w:jc w:val="both"/>
        <w:rPr>
          <w:rFonts w:ascii="Century Gothic" w:hAnsi="Century Gothic"/>
          <w:color w:val="000000" w:themeColor="text1"/>
          <w:sz w:val="24"/>
          <w:szCs w:val="24"/>
        </w:rPr>
      </w:pPr>
    </w:p>
    <w:tbl>
      <w:tblPr>
        <w:tblW w:w="959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7"/>
        <w:gridCol w:w="2183"/>
        <w:gridCol w:w="1191"/>
        <w:gridCol w:w="1980"/>
        <w:gridCol w:w="2220"/>
      </w:tblGrid>
      <w:tr w:rsidR="002C3EAC" w:rsidRPr="00324DFD" w14:paraId="33CD937C" w14:textId="6F3CC290" w:rsidTr="002C3EAC">
        <w:trPr>
          <w:trHeight w:val="500"/>
        </w:trPr>
        <w:tc>
          <w:tcPr>
            <w:tcW w:w="2017" w:type="dxa"/>
            <w:shd w:val="clear" w:color="auto" w:fill="C4BC96" w:themeFill="background2" w:themeFillShade="BF"/>
            <w:vAlign w:val="center"/>
            <w:hideMark/>
          </w:tcPr>
          <w:p w14:paraId="7023E0BB" w14:textId="77777777" w:rsidR="002C3EAC" w:rsidRPr="00324DFD" w:rsidRDefault="002C3EAC" w:rsidP="002C3EAC">
            <w:pPr>
              <w:jc w:val="center"/>
              <w:rPr>
                <w:rFonts w:ascii="Century Gothic" w:eastAsia="Times New Roman" w:hAnsi="Century Gothic" w:cs="Calibri"/>
                <w:color w:val="FFFFFF"/>
                <w:sz w:val="18"/>
                <w:szCs w:val="18"/>
              </w:rPr>
            </w:pPr>
            <w:r w:rsidRPr="00324DFD">
              <w:rPr>
                <w:rFonts w:ascii="Century Gothic" w:eastAsia="Times New Roman" w:hAnsi="Century Gothic" w:cs="Calibri"/>
                <w:color w:val="FFFFFF"/>
                <w:sz w:val="18"/>
                <w:szCs w:val="18"/>
              </w:rPr>
              <w:lastRenderedPageBreak/>
              <w:t>Conjunto de datos</w:t>
            </w:r>
          </w:p>
        </w:tc>
        <w:tc>
          <w:tcPr>
            <w:tcW w:w="2183" w:type="dxa"/>
            <w:shd w:val="clear" w:color="auto" w:fill="C4BC96" w:themeFill="background2" w:themeFillShade="BF"/>
            <w:vAlign w:val="center"/>
            <w:hideMark/>
          </w:tcPr>
          <w:p w14:paraId="2B71476B" w14:textId="77777777" w:rsidR="002C3EAC" w:rsidRPr="00324DFD" w:rsidRDefault="002C3EAC" w:rsidP="002C3EAC">
            <w:pPr>
              <w:jc w:val="center"/>
              <w:rPr>
                <w:rFonts w:ascii="Century Gothic" w:eastAsia="Times New Roman" w:hAnsi="Century Gothic" w:cs="Calibri"/>
                <w:color w:val="FFFFFF"/>
                <w:sz w:val="18"/>
                <w:szCs w:val="18"/>
              </w:rPr>
            </w:pPr>
            <w:r w:rsidRPr="00324DFD">
              <w:rPr>
                <w:rFonts w:ascii="Century Gothic" w:eastAsia="Times New Roman" w:hAnsi="Century Gothic" w:cs="Calibri"/>
                <w:color w:val="FFFFFF"/>
                <w:sz w:val="18"/>
                <w:szCs w:val="18"/>
              </w:rPr>
              <w:t>Instituciones Responsables</w:t>
            </w:r>
          </w:p>
        </w:tc>
        <w:tc>
          <w:tcPr>
            <w:tcW w:w="1191" w:type="dxa"/>
            <w:shd w:val="clear" w:color="auto" w:fill="C4BC96" w:themeFill="background2" w:themeFillShade="BF"/>
            <w:vAlign w:val="center"/>
          </w:tcPr>
          <w:p w14:paraId="5D387D26" w14:textId="56FC2246" w:rsidR="002C3EAC" w:rsidRPr="00324DFD" w:rsidRDefault="002C3EAC" w:rsidP="002C3EAC">
            <w:pPr>
              <w:jc w:val="center"/>
              <w:rPr>
                <w:rFonts w:ascii="Century Gothic" w:eastAsia="Times New Roman" w:hAnsi="Century Gothic" w:cs="Calibri"/>
                <w:color w:val="FFFFFF"/>
                <w:sz w:val="18"/>
                <w:szCs w:val="18"/>
              </w:rPr>
            </w:pPr>
            <w:r>
              <w:rPr>
                <w:rFonts w:ascii="Century Gothic" w:eastAsia="Times New Roman" w:hAnsi="Century Gothic" w:cs="Calibri"/>
                <w:color w:val="FFFFFF"/>
                <w:sz w:val="18"/>
                <w:szCs w:val="18"/>
              </w:rPr>
              <w:t>Información Pública</w:t>
            </w:r>
          </w:p>
        </w:tc>
        <w:tc>
          <w:tcPr>
            <w:tcW w:w="1980" w:type="dxa"/>
            <w:shd w:val="clear" w:color="auto" w:fill="C4BC96" w:themeFill="background2" w:themeFillShade="BF"/>
            <w:vAlign w:val="center"/>
          </w:tcPr>
          <w:p w14:paraId="0DC60981" w14:textId="0E106308" w:rsidR="002C3EAC" w:rsidRPr="002C1E83"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FFFFFF" w:themeColor="background1"/>
                <w:sz w:val="18"/>
                <w:szCs w:val="18"/>
              </w:rPr>
              <w:t>Categoría Anticorrupción</w:t>
            </w:r>
          </w:p>
        </w:tc>
        <w:tc>
          <w:tcPr>
            <w:tcW w:w="2220" w:type="dxa"/>
            <w:shd w:val="clear" w:color="auto" w:fill="C4BC96" w:themeFill="background2" w:themeFillShade="BF"/>
            <w:vAlign w:val="center"/>
          </w:tcPr>
          <w:p w14:paraId="09011124" w14:textId="7F08B151" w:rsidR="002C3EAC" w:rsidRPr="002C3EAC" w:rsidRDefault="002C3EAC" w:rsidP="002C3EAC">
            <w:pPr>
              <w:jc w:val="center"/>
              <w:rPr>
                <w:rFonts w:ascii="Century Gothic" w:eastAsia="Times New Roman" w:hAnsi="Century Gothic" w:cs="Calibri"/>
                <w:color w:val="FFFFFF" w:themeColor="background1"/>
                <w:sz w:val="18"/>
                <w:szCs w:val="18"/>
              </w:rPr>
            </w:pPr>
            <w:r w:rsidRPr="002C3EAC">
              <w:rPr>
                <w:rFonts w:ascii="Century Gothic" w:eastAsia="Times New Roman" w:hAnsi="Century Gothic" w:cs="Calibri"/>
                <w:color w:val="FFFFFF" w:themeColor="background1"/>
                <w:sz w:val="18"/>
                <w:szCs w:val="18"/>
              </w:rPr>
              <w:t>Estado del conjunto de datos</w:t>
            </w:r>
          </w:p>
        </w:tc>
      </w:tr>
      <w:tr w:rsidR="002C3EAC" w:rsidRPr="00324DFD" w14:paraId="3B942943" w14:textId="08FB4B41" w:rsidTr="002C3EAC">
        <w:trPr>
          <w:trHeight w:val="500"/>
        </w:trPr>
        <w:tc>
          <w:tcPr>
            <w:tcW w:w="2017" w:type="dxa"/>
            <w:shd w:val="clear" w:color="000000" w:fill="F2F2F2"/>
            <w:vAlign w:val="center"/>
            <w:hideMark/>
          </w:tcPr>
          <w:p w14:paraId="709FDE0D"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Registro de cabilderos</w:t>
            </w:r>
          </w:p>
        </w:tc>
        <w:tc>
          <w:tcPr>
            <w:tcW w:w="2183" w:type="dxa"/>
            <w:shd w:val="clear" w:color="auto" w:fill="auto"/>
            <w:vAlign w:val="center"/>
            <w:hideMark/>
          </w:tcPr>
          <w:p w14:paraId="4016890A" w14:textId="6D0E95F9"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Pendiente</w:t>
            </w:r>
          </w:p>
        </w:tc>
        <w:tc>
          <w:tcPr>
            <w:tcW w:w="1191" w:type="dxa"/>
            <w:vAlign w:val="center"/>
          </w:tcPr>
          <w:p w14:paraId="5F09975B" w14:textId="38CC98A3" w:rsidR="002C3EAC"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75A6D666" w14:textId="4F151F46"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Individuos y organizaciones </w:t>
            </w:r>
          </w:p>
        </w:tc>
        <w:tc>
          <w:tcPr>
            <w:tcW w:w="2220" w:type="dxa"/>
            <w:vAlign w:val="center"/>
          </w:tcPr>
          <w:p w14:paraId="2B82A06E" w14:textId="7C3DFEB7"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5C887929" w14:textId="4D516F0E" w:rsidTr="002C3EAC">
        <w:trPr>
          <w:trHeight w:val="500"/>
        </w:trPr>
        <w:tc>
          <w:tcPr>
            <w:tcW w:w="2017" w:type="dxa"/>
            <w:shd w:val="clear" w:color="000000" w:fill="F2F2F2"/>
            <w:vAlign w:val="center"/>
            <w:hideMark/>
          </w:tcPr>
          <w:p w14:paraId="3DFFC702"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Declaración de Intereses</w:t>
            </w:r>
          </w:p>
        </w:tc>
        <w:tc>
          <w:tcPr>
            <w:tcW w:w="2183" w:type="dxa"/>
            <w:shd w:val="clear" w:color="auto" w:fill="auto"/>
            <w:vAlign w:val="center"/>
            <w:hideMark/>
          </w:tcPr>
          <w:p w14:paraId="18825F23"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MEF</w:t>
            </w:r>
          </w:p>
        </w:tc>
        <w:tc>
          <w:tcPr>
            <w:tcW w:w="1191" w:type="dxa"/>
            <w:vAlign w:val="center"/>
          </w:tcPr>
          <w:p w14:paraId="3FB73307" w14:textId="7B3D5C87"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5E2F20AD" w14:textId="3CF39835"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Individuos y organizaciones </w:t>
            </w:r>
          </w:p>
        </w:tc>
        <w:tc>
          <w:tcPr>
            <w:tcW w:w="2220" w:type="dxa"/>
            <w:vAlign w:val="center"/>
          </w:tcPr>
          <w:p w14:paraId="481E56C9" w14:textId="71619A67"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52956874" w14:textId="4EF429AC" w:rsidTr="002C3EAC">
        <w:trPr>
          <w:trHeight w:val="680"/>
        </w:trPr>
        <w:tc>
          <w:tcPr>
            <w:tcW w:w="2017" w:type="dxa"/>
            <w:shd w:val="clear" w:color="000000" w:fill="F2F2F2"/>
            <w:vAlign w:val="center"/>
            <w:hideMark/>
          </w:tcPr>
          <w:p w14:paraId="7A9D039D"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Registro de compañías</w:t>
            </w:r>
          </w:p>
        </w:tc>
        <w:tc>
          <w:tcPr>
            <w:tcW w:w="2183" w:type="dxa"/>
            <w:shd w:val="clear" w:color="auto" w:fill="auto"/>
            <w:vAlign w:val="center"/>
            <w:hideMark/>
          </w:tcPr>
          <w:p w14:paraId="74A0A98C" w14:textId="6CB0036A"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Registro Público / Ministerio De Comercio E Industrias</w:t>
            </w:r>
          </w:p>
        </w:tc>
        <w:tc>
          <w:tcPr>
            <w:tcW w:w="1191" w:type="dxa"/>
            <w:vAlign w:val="center"/>
          </w:tcPr>
          <w:p w14:paraId="52124E0F" w14:textId="7C139A48"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598E8519" w14:textId="2400ACF6"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Individuos y organizaciones </w:t>
            </w:r>
          </w:p>
        </w:tc>
        <w:tc>
          <w:tcPr>
            <w:tcW w:w="2220" w:type="dxa"/>
            <w:vAlign w:val="center"/>
          </w:tcPr>
          <w:p w14:paraId="07EF7E5C" w14:textId="486D5F39"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72FE1C83" w14:textId="09CF3EDB" w:rsidTr="002C3EAC">
        <w:trPr>
          <w:trHeight w:val="500"/>
        </w:trPr>
        <w:tc>
          <w:tcPr>
            <w:tcW w:w="2017" w:type="dxa"/>
            <w:shd w:val="clear" w:color="000000" w:fill="F2F2F2"/>
            <w:vAlign w:val="center"/>
            <w:hideMark/>
          </w:tcPr>
          <w:p w14:paraId="48D50913"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Registro de organizaciones benéficas</w:t>
            </w:r>
          </w:p>
        </w:tc>
        <w:tc>
          <w:tcPr>
            <w:tcW w:w="2183" w:type="dxa"/>
            <w:shd w:val="clear" w:color="auto" w:fill="auto"/>
            <w:vAlign w:val="center"/>
            <w:hideMark/>
          </w:tcPr>
          <w:p w14:paraId="2FC9FD10" w14:textId="40BBADF9"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Registro Público / Ministerio De Gobierno</w:t>
            </w:r>
          </w:p>
        </w:tc>
        <w:tc>
          <w:tcPr>
            <w:tcW w:w="1191" w:type="dxa"/>
            <w:vAlign w:val="center"/>
          </w:tcPr>
          <w:p w14:paraId="55B1DF5C" w14:textId="1712A416"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2AADF69B" w14:textId="6F288B1A"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Individuos y organizaciones </w:t>
            </w:r>
          </w:p>
        </w:tc>
        <w:tc>
          <w:tcPr>
            <w:tcW w:w="2220" w:type="dxa"/>
            <w:vAlign w:val="center"/>
          </w:tcPr>
          <w:p w14:paraId="6EAB0A35" w14:textId="26EAE6A6"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6440BE03" w14:textId="32B38B5D" w:rsidTr="002C3EAC">
        <w:trPr>
          <w:trHeight w:val="680"/>
        </w:trPr>
        <w:tc>
          <w:tcPr>
            <w:tcW w:w="2017" w:type="dxa"/>
            <w:shd w:val="clear" w:color="000000" w:fill="F2F2F2"/>
            <w:vAlign w:val="center"/>
            <w:hideMark/>
          </w:tcPr>
          <w:p w14:paraId="1998B54B"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Servidores públicos que intervienen en procesos de contratación</w:t>
            </w:r>
          </w:p>
        </w:tc>
        <w:tc>
          <w:tcPr>
            <w:tcW w:w="2183" w:type="dxa"/>
            <w:shd w:val="clear" w:color="auto" w:fill="auto"/>
            <w:vAlign w:val="center"/>
            <w:hideMark/>
          </w:tcPr>
          <w:p w14:paraId="126FC0B6" w14:textId="61BB8223"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Dirección General De Carrera Administrativa</w:t>
            </w:r>
          </w:p>
        </w:tc>
        <w:tc>
          <w:tcPr>
            <w:tcW w:w="1191" w:type="dxa"/>
            <w:vAlign w:val="center"/>
          </w:tcPr>
          <w:p w14:paraId="6688843F" w14:textId="412D9112"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4C48D9C3" w14:textId="5D78BD84"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Individuos y organizaciones </w:t>
            </w:r>
          </w:p>
        </w:tc>
        <w:tc>
          <w:tcPr>
            <w:tcW w:w="2220" w:type="dxa"/>
            <w:vAlign w:val="center"/>
          </w:tcPr>
          <w:p w14:paraId="2CF64F38" w14:textId="1C9F3916"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374E1788" w14:textId="0049E86C" w:rsidTr="002C3EAC">
        <w:trPr>
          <w:trHeight w:val="500"/>
        </w:trPr>
        <w:tc>
          <w:tcPr>
            <w:tcW w:w="2017" w:type="dxa"/>
            <w:shd w:val="clear" w:color="000000" w:fill="F2F2F2"/>
            <w:vAlign w:val="center"/>
            <w:hideMark/>
          </w:tcPr>
          <w:p w14:paraId="22C66643"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Personas políticamente expuestas</w:t>
            </w:r>
          </w:p>
        </w:tc>
        <w:tc>
          <w:tcPr>
            <w:tcW w:w="2183" w:type="dxa"/>
            <w:shd w:val="clear" w:color="auto" w:fill="auto"/>
            <w:vAlign w:val="center"/>
            <w:hideMark/>
          </w:tcPr>
          <w:p w14:paraId="304DE4C5" w14:textId="3B75418B"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Pendiente</w:t>
            </w:r>
          </w:p>
        </w:tc>
        <w:tc>
          <w:tcPr>
            <w:tcW w:w="1191" w:type="dxa"/>
            <w:vAlign w:val="center"/>
          </w:tcPr>
          <w:p w14:paraId="0B734E1F" w14:textId="0C233868" w:rsidR="002C3EAC"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4DA242F3" w14:textId="58B70594"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Individuos y organizaciones </w:t>
            </w:r>
          </w:p>
        </w:tc>
        <w:tc>
          <w:tcPr>
            <w:tcW w:w="2220" w:type="dxa"/>
            <w:vAlign w:val="center"/>
          </w:tcPr>
          <w:p w14:paraId="2E6618E1" w14:textId="235DBF1C"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76B0F133" w14:textId="1DD53893" w:rsidTr="002C3EAC">
        <w:trPr>
          <w:trHeight w:val="680"/>
        </w:trPr>
        <w:tc>
          <w:tcPr>
            <w:tcW w:w="2017" w:type="dxa"/>
            <w:shd w:val="clear" w:color="000000" w:fill="F2F2F2"/>
            <w:vAlign w:val="center"/>
            <w:hideMark/>
          </w:tcPr>
          <w:p w14:paraId="49E99E90"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Registro servidores públicos</w:t>
            </w:r>
          </w:p>
        </w:tc>
        <w:tc>
          <w:tcPr>
            <w:tcW w:w="2183" w:type="dxa"/>
            <w:shd w:val="clear" w:color="auto" w:fill="auto"/>
            <w:vAlign w:val="center"/>
            <w:hideMark/>
          </w:tcPr>
          <w:p w14:paraId="2274D235" w14:textId="0C6BC31F"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Dirección General De Carrera Administrativa / Contraloría</w:t>
            </w:r>
          </w:p>
        </w:tc>
        <w:tc>
          <w:tcPr>
            <w:tcW w:w="1191" w:type="dxa"/>
            <w:vAlign w:val="center"/>
          </w:tcPr>
          <w:p w14:paraId="52A765B6" w14:textId="3E37B197"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4A990646" w14:textId="2D736B27"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Individuos y organizaciones </w:t>
            </w:r>
          </w:p>
        </w:tc>
        <w:tc>
          <w:tcPr>
            <w:tcW w:w="2220" w:type="dxa"/>
            <w:vAlign w:val="center"/>
          </w:tcPr>
          <w:p w14:paraId="17E8102F" w14:textId="5E795EE6"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571E33E3" w14:textId="3CC19811" w:rsidTr="002C3EAC">
        <w:trPr>
          <w:trHeight w:val="680"/>
        </w:trPr>
        <w:tc>
          <w:tcPr>
            <w:tcW w:w="2017" w:type="dxa"/>
            <w:shd w:val="clear" w:color="000000" w:fill="F2F2F2"/>
            <w:vAlign w:val="center"/>
            <w:hideMark/>
          </w:tcPr>
          <w:p w14:paraId="7D222956"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Lista de contratistas de gobierno</w:t>
            </w:r>
          </w:p>
        </w:tc>
        <w:tc>
          <w:tcPr>
            <w:tcW w:w="2183" w:type="dxa"/>
            <w:shd w:val="clear" w:color="auto" w:fill="auto"/>
            <w:vAlign w:val="center"/>
            <w:hideMark/>
          </w:tcPr>
          <w:p w14:paraId="2298B32B" w14:textId="522DC148"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Dirección General De Contrataciones Públicas</w:t>
            </w:r>
          </w:p>
        </w:tc>
        <w:tc>
          <w:tcPr>
            <w:tcW w:w="1191" w:type="dxa"/>
            <w:vAlign w:val="center"/>
          </w:tcPr>
          <w:p w14:paraId="45E7BB73" w14:textId="79A4D674"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71AA5BBB" w14:textId="6E38C3F1"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Individuos y organizaciones </w:t>
            </w:r>
          </w:p>
        </w:tc>
        <w:tc>
          <w:tcPr>
            <w:tcW w:w="2220" w:type="dxa"/>
            <w:vAlign w:val="center"/>
          </w:tcPr>
          <w:p w14:paraId="69F39878" w14:textId="713A9390"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77D3352C" w14:textId="412D1AB2" w:rsidTr="002C3EAC">
        <w:trPr>
          <w:trHeight w:val="500"/>
        </w:trPr>
        <w:tc>
          <w:tcPr>
            <w:tcW w:w="2017" w:type="dxa"/>
            <w:shd w:val="clear" w:color="000000" w:fill="F2F2F2"/>
            <w:vAlign w:val="center"/>
            <w:hideMark/>
          </w:tcPr>
          <w:p w14:paraId="3CB97F4E"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Consejos consultivos de gobierno</w:t>
            </w:r>
          </w:p>
        </w:tc>
        <w:tc>
          <w:tcPr>
            <w:tcW w:w="2183" w:type="dxa"/>
            <w:shd w:val="clear" w:color="auto" w:fill="auto"/>
            <w:vAlign w:val="center"/>
            <w:hideMark/>
          </w:tcPr>
          <w:p w14:paraId="3355A622" w14:textId="44BD61C5"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Ministerio De Presidencia</w:t>
            </w:r>
          </w:p>
        </w:tc>
        <w:tc>
          <w:tcPr>
            <w:tcW w:w="1191" w:type="dxa"/>
            <w:vAlign w:val="center"/>
          </w:tcPr>
          <w:p w14:paraId="67878635" w14:textId="43C40FDC"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79352CCD" w14:textId="352AE99F"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Individuos y organizaciones </w:t>
            </w:r>
          </w:p>
        </w:tc>
        <w:tc>
          <w:tcPr>
            <w:tcW w:w="2220" w:type="dxa"/>
            <w:vAlign w:val="center"/>
          </w:tcPr>
          <w:p w14:paraId="7A65F61A" w14:textId="6F3BFEBC"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070796B3" w14:textId="349F42AD" w:rsidTr="002C3EAC">
        <w:trPr>
          <w:trHeight w:val="500"/>
        </w:trPr>
        <w:tc>
          <w:tcPr>
            <w:tcW w:w="2017" w:type="dxa"/>
            <w:shd w:val="clear" w:color="000000" w:fill="F2F2F2"/>
            <w:vAlign w:val="center"/>
            <w:hideMark/>
          </w:tcPr>
          <w:p w14:paraId="7CABDC7B"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Financiamiento a partidos políticos</w:t>
            </w:r>
          </w:p>
        </w:tc>
        <w:tc>
          <w:tcPr>
            <w:tcW w:w="2183" w:type="dxa"/>
            <w:shd w:val="clear" w:color="auto" w:fill="auto"/>
            <w:vAlign w:val="center"/>
            <w:hideMark/>
          </w:tcPr>
          <w:p w14:paraId="6836527E" w14:textId="6BC69501"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Tribunal Electoral</w:t>
            </w:r>
          </w:p>
        </w:tc>
        <w:tc>
          <w:tcPr>
            <w:tcW w:w="1191" w:type="dxa"/>
            <w:vAlign w:val="center"/>
          </w:tcPr>
          <w:p w14:paraId="5E2F64AD" w14:textId="53A13E2B"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3951AEA0" w14:textId="2AA46919"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Recursos públicos </w:t>
            </w:r>
          </w:p>
        </w:tc>
        <w:tc>
          <w:tcPr>
            <w:tcW w:w="2220" w:type="dxa"/>
            <w:vAlign w:val="center"/>
          </w:tcPr>
          <w:p w14:paraId="5CCDAACE" w14:textId="6BA86336" w:rsidR="002C3EAC" w:rsidRPr="002C3EAC" w:rsidRDefault="002C3EAC" w:rsidP="002C3EAC">
            <w:pPr>
              <w:jc w:val="center"/>
              <w:rPr>
                <w:rFonts w:ascii="Century Gothic" w:eastAsia="Times New Roman" w:hAnsi="Century Gothic" w:cs="Calibri"/>
                <w:b/>
                <w:color w:val="000000" w:themeColor="text1"/>
                <w:sz w:val="18"/>
                <w:szCs w:val="18"/>
              </w:rPr>
            </w:pPr>
            <w:r w:rsidRPr="002C3EAC">
              <w:rPr>
                <w:rFonts w:ascii="Century Gothic" w:eastAsia="Times New Roman" w:hAnsi="Century Gothic" w:cs="Calibri"/>
                <w:b/>
                <w:color w:val="000000" w:themeColor="text1"/>
                <w:sz w:val="18"/>
                <w:szCs w:val="18"/>
              </w:rPr>
              <w:t>Divulgación pública</w:t>
            </w:r>
          </w:p>
        </w:tc>
      </w:tr>
      <w:tr w:rsidR="002C3EAC" w:rsidRPr="00324DFD" w14:paraId="4613EDE6" w14:textId="591E975F" w:rsidTr="002C3EAC">
        <w:trPr>
          <w:trHeight w:val="500"/>
        </w:trPr>
        <w:tc>
          <w:tcPr>
            <w:tcW w:w="2017" w:type="dxa"/>
            <w:shd w:val="clear" w:color="000000" w:fill="F2F2F2"/>
            <w:vAlign w:val="center"/>
            <w:hideMark/>
          </w:tcPr>
          <w:p w14:paraId="492D0C38"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Presupuesto</w:t>
            </w:r>
          </w:p>
        </w:tc>
        <w:tc>
          <w:tcPr>
            <w:tcW w:w="2183" w:type="dxa"/>
            <w:shd w:val="clear" w:color="auto" w:fill="auto"/>
            <w:vAlign w:val="center"/>
            <w:hideMark/>
          </w:tcPr>
          <w:p w14:paraId="603AAD37" w14:textId="4451C746"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Ministerio De Economía Y Finanzas</w:t>
            </w:r>
          </w:p>
        </w:tc>
        <w:tc>
          <w:tcPr>
            <w:tcW w:w="1191" w:type="dxa"/>
            <w:vAlign w:val="center"/>
          </w:tcPr>
          <w:p w14:paraId="46EC9520" w14:textId="6BDAC9E4"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0DC44E31" w14:textId="158070AA"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Recursos públicos </w:t>
            </w:r>
          </w:p>
        </w:tc>
        <w:tc>
          <w:tcPr>
            <w:tcW w:w="2220" w:type="dxa"/>
            <w:vAlign w:val="center"/>
          </w:tcPr>
          <w:p w14:paraId="05A1FEFE" w14:textId="35F304A1" w:rsidR="002C3EAC" w:rsidRPr="002C3EAC" w:rsidRDefault="002C3EAC" w:rsidP="002C3EAC">
            <w:pPr>
              <w:jc w:val="center"/>
              <w:rPr>
                <w:rFonts w:ascii="Century Gothic" w:eastAsia="Times New Roman" w:hAnsi="Century Gothic" w:cs="Calibri"/>
                <w:b/>
                <w:color w:val="000000" w:themeColor="text1"/>
                <w:sz w:val="18"/>
                <w:szCs w:val="18"/>
              </w:rPr>
            </w:pPr>
            <w:r w:rsidRPr="002C3EAC">
              <w:rPr>
                <w:rFonts w:ascii="Century Gothic" w:eastAsia="Times New Roman" w:hAnsi="Century Gothic" w:cs="Calibri"/>
                <w:b/>
                <w:color w:val="000000" w:themeColor="text1"/>
                <w:sz w:val="18"/>
                <w:szCs w:val="18"/>
              </w:rPr>
              <w:t>Divulgación pública</w:t>
            </w:r>
          </w:p>
        </w:tc>
      </w:tr>
      <w:tr w:rsidR="002C3EAC" w:rsidRPr="00324DFD" w14:paraId="1D2AC7CC" w14:textId="32C003D5" w:rsidTr="002C3EAC">
        <w:trPr>
          <w:trHeight w:val="680"/>
        </w:trPr>
        <w:tc>
          <w:tcPr>
            <w:tcW w:w="2017" w:type="dxa"/>
            <w:shd w:val="clear" w:color="000000" w:fill="F2F2F2"/>
            <w:vAlign w:val="center"/>
            <w:hideMark/>
          </w:tcPr>
          <w:p w14:paraId="059A5F02"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Procesos de Adquisición</w:t>
            </w:r>
          </w:p>
        </w:tc>
        <w:tc>
          <w:tcPr>
            <w:tcW w:w="2183" w:type="dxa"/>
            <w:shd w:val="clear" w:color="auto" w:fill="auto"/>
            <w:vAlign w:val="center"/>
            <w:hideMark/>
          </w:tcPr>
          <w:p w14:paraId="0E3B8A06" w14:textId="43B1D63B"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Dirección General De Contrataciones Públicas</w:t>
            </w:r>
          </w:p>
        </w:tc>
        <w:tc>
          <w:tcPr>
            <w:tcW w:w="1191" w:type="dxa"/>
            <w:vAlign w:val="center"/>
          </w:tcPr>
          <w:p w14:paraId="138857C0" w14:textId="43801A9A"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5C287666" w14:textId="6B49175F"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Recursos públicos </w:t>
            </w:r>
          </w:p>
        </w:tc>
        <w:tc>
          <w:tcPr>
            <w:tcW w:w="2220" w:type="dxa"/>
            <w:vAlign w:val="center"/>
          </w:tcPr>
          <w:p w14:paraId="0B5FC6A4" w14:textId="470571A0" w:rsidR="002C3EAC" w:rsidRPr="002C3EAC" w:rsidRDefault="002C3EAC" w:rsidP="002C3EAC">
            <w:pPr>
              <w:jc w:val="center"/>
              <w:rPr>
                <w:rFonts w:ascii="Century Gothic" w:eastAsia="Times New Roman" w:hAnsi="Century Gothic" w:cs="Calibri"/>
                <w:b/>
                <w:color w:val="000000" w:themeColor="text1"/>
                <w:sz w:val="18"/>
                <w:szCs w:val="18"/>
              </w:rPr>
            </w:pPr>
            <w:r w:rsidRPr="002C3EAC">
              <w:rPr>
                <w:rFonts w:ascii="Century Gothic" w:eastAsia="Times New Roman" w:hAnsi="Century Gothic" w:cs="Calibri"/>
                <w:b/>
                <w:color w:val="000000" w:themeColor="text1"/>
                <w:sz w:val="18"/>
                <w:szCs w:val="18"/>
              </w:rPr>
              <w:t>Divulgación pública</w:t>
            </w:r>
          </w:p>
        </w:tc>
      </w:tr>
      <w:tr w:rsidR="002C3EAC" w:rsidRPr="00324DFD" w14:paraId="6C60E6BA" w14:textId="74544742" w:rsidTr="002C3EAC">
        <w:trPr>
          <w:trHeight w:val="500"/>
        </w:trPr>
        <w:tc>
          <w:tcPr>
            <w:tcW w:w="2017" w:type="dxa"/>
            <w:shd w:val="clear" w:color="000000" w:fill="F2F2F2"/>
            <w:vAlign w:val="center"/>
            <w:hideMark/>
          </w:tcPr>
          <w:p w14:paraId="0D3F98C1"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Licencias</w:t>
            </w:r>
          </w:p>
        </w:tc>
        <w:tc>
          <w:tcPr>
            <w:tcW w:w="2183" w:type="dxa"/>
            <w:shd w:val="clear" w:color="auto" w:fill="auto"/>
            <w:vAlign w:val="center"/>
            <w:hideMark/>
          </w:tcPr>
          <w:p w14:paraId="5BD3EE11" w14:textId="190CB654"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Contraloría</w:t>
            </w:r>
          </w:p>
        </w:tc>
        <w:tc>
          <w:tcPr>
            <w:tcW w:w="1191" w:type="dxa"/>
            <w:vAlign w:val="center"/>
          </w:tcPr>
          <w:p w14:paraId="0A692F78" w14:textId="248959A4"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6A3B95FC" w14:textId="6E128A13"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Recursos públicos </w:t>
            </w:r>
          </w:p>
        </w:tc>
        <w:tc>
          <w:tcPr>
            <w:tcW w:w="2220" w:type="dxa"/>
            <w:vAlign w:val="center"/>
          </w:tcPr>
          <w:p w14:paraId="603EAC54" w14:textId="36E4D87F"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Transacción</w:t>
            </w:r>
          </w:p>
        </w:tc>
      </w:tr>
      <w:tr w:rsidR="002C3EAC" w:rsidRPr="00324DFD" w14:paraId="7EE4548B" w14:textId="5F660E5F" w:rsidTr="002C3EAC">
        <w:trPr>
          <w:trHeight w:val="500"/>
        </w:trPr>
        <w:tc>
          <w:tcPr>
            <w:tcW w:w="2017" w:type="dxa"/>
            <w:shd w:val="clear" w:color="000000" w:fill="F2F2F2"/>
            <w:vAlign w:val="center"/>
            <w:hideMark/>
          </w:tcPr>
          <w:p w14:paraId="5C8064A1"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Asociaciones público privadas</w:t>
            </w:r>
          </w:p>
        </w:tc>
        <w:tc>
          <w:tcPr>
            <w:tcW w:w="2183" w:type="dxa"/>
            <w:shd w:val="clear" w:color="auto" w:fill="auto"/>
            <w:vAlign w:val="center"/>
            <w:hideMark/>
          </w:tcPr>
          <w:p w14:paraId="44A16674" w14:textId="00FCBC60"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Ministerio De Presidencia</w:t>
            </w:r>
          </w:p>
        </w:tc>
        <w:tc>
          <w:tcPr>
            <w:tcW w:w="1191" w:type="dxa"/>
            <w:vAlign w:val="center"/>
          </w:tcPr>
          <w:p w14:paraId="667E14F8" w14:textId="4440BE4C"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14AEDE70" w14:textId="5847F0C3"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Recursos públicos </w:t>
            </w:r>
          </w:p>
        </w:tc>
        <w:tc>
          <w:tcPr>
            <w:tcW w:w="2220" w:type="dxa"/>
            <w:vAlign w:val="center"/>
          </w:tcPr>
          <w:p w14:paraId="69423604" w14:textId="04526405"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Transacción</w:t>
            </w:r>
          </w:p>
        </w:tc>
      </w:tr>
      <w:tr w:rsidR="002C3EAC" w:rsidRPr="00324DFD" w14:paraId="395AD1F7" w14:textId="2C1F19B0" w:rsidTr="002C3EAC">
        <w:trPr>
          <w:trHeight w:val="500"/>
        </w:trPr>
        <w:tc>
          <w:tcPr>
            <w:tcW w:w="2017" w:type="dxa"/>
            <w:shd w:val="clear" w:color="000000" w:fill="F2F2F2"/>
            <w:vAlign w:val="center"/>
            <w:hideMark/>
          </w:tcPr>
          <w:p w14:paraId="188C41A0"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Gasto</w:t>
            </w:r>
          </w:p>
        </w:tc>
        <w:tc>
          <w:tcPr>
            <w:tcW w:w="2183" w:type="dxa"/>
            <w:shd w:val="clear" w:color="auto" w:fill="auto"/>
            <w:vAlign w:val="center"/>
            <w:hideMark/>
          </w:tcPr>
          <w:p w14:paraId="57BE449B" w14:textId="1C902FEE"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Ministerio De Economía Y Finanzas</w:t>
            </w:r>
          </w:p>
        </w:tc>
        <w:tc>
          <w:tcPr>
            <w:tcW w:w="1191" w:type="dxa"/>
            <w:vAlign w:val="center"/>
          </w:tcPr>
          <w:p w14:paraId="67B400A6" w14:textId="02D13BA9"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4D1EA58B" w14:textId="38EE6F08"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Recursos públicos </w:t>
            </w:r>
          </w:p>
        </w:tc>
        <w:tc>
          <w:tcPr>
            <w:tcW w:w="2220" w:type="dxa"/>
            <w:vAlign w:val="center"/>
          </w:tcPr>
          <w:p w14:paraId="40292D6F" w14:textId="67D3CC29"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Transacción</w:t>
            </w:r>
          </w:p>
        </w:tc>
      </w:tr>
      <w:tr w:rsidR="002C3EAC" w:rsidRPr="00324DFD" w14:paraId="50AFDEE7" w14:textId="06C0D385" w:rsidTr="002C3EAC">
        <w:trPr>
          <w:trHeight w:val="680"/>
        </w:trPr>
        <w:tc>
          <w:tcPr>
            <w:tcW w:w="2017" w:type="dxa"/>
            <w:shd w:val="clear" w:color="000000" w:fill="F2F2F2"/>
            <w:vAlign w:val="center"/>
            <w:hideMark/>
          </w:tcPr>
          <w:p w14:paraId="6C35BA88"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Subsidios de gobierno</w:t>
            </w:r>
          </w:p>
        </w:tc>
        <w:tc>
          <w:tcPr>
            <w:tcW w:w="2183" w:type="dxa"/>
            <w:shd w:val="clear" w:color="auto" w:fill="auto"/>
            <w:vAlign w:val="center"/>
            <w:hideMark/>
          </w:tcPr>
          <w:p w14:paraId="6441F062" w14:textId="359DA5C1"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Ministerio De Economía Y Finanzas / Ministerio De Desarrollo Social</w:t>
            </w:r>
          </w:p>
        </w:tc>
        <w:tc>
          <w:tcPr>
            <w:tcW w:w="1191" w:type="dxa"/>
            <w:vAlign w:val="center"/>
          </w:tcPr>
          <w:p w14:paraId="65884324" w14:textId="2FEA71E6"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3EC54F82" w14:textId="2E26690A"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Recursos públicos </w:t>
            </w:r>
          </w:p>
        </w:tc>
        <w:tc>
          <w:tcPr>
            <w:tcW w:w="2220" w:type="dxa"/>
            <w:vAlign w:val="center"/>
          </w:tcPr>
          <w:p w14:paraId="2E7F40C7" w14:textId="434C3183"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Transacción</w:t>
            </w:r>
          </w:p>
        </w:tc>
      </w:tr>
      <w:tr w:rsidR="002C3EAC" w:rsidRPr="00324DFD" w14:paraId="47ABC831" w14:textId="62E4D341" w:rsidTr="002C3EAC">
        <w:trPr>
          <w:trHeight w:val="500"/>
        </w:trPr>
        <w:tc>
          <w:tcPr>
            <w:tcW w:w="2017" w:type="dxa"/>
            <w:shd w:val="clear" w:color="000000" w:fill="F2F2F2"/>
            <w:vAlign w:val="center"/>
            <w:hideMark/>
          </w:tcPr>
          <w:p w14:paraId="06073510"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Cooperación internacional</w:t>
            </w:r>
          </w:p>
        </w:tc>
        <w:tc>
          <w:tcPr>
            <w:tcW w:w="2183" w:type="dxa"/>
            <w:shd w:val="clear" w:color="auto" w:fill="auto"/>
            <w:vAlign w:val="center"/>
            <w:hideMark/>
          </w:tcPr>
          <w:p w14:paraId="5D8B64ED" w14:textId="75280F11"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Ministerio De Relaciones Exteriores</w:t>
            </w:r>
          </w:p>
        </w:tc>
        <w:tc>
          <w:tcPr>
            <w:tcW w:w="1191" w:type="dxa"/>
            <w:vAlign w:val="center"/>
          </w:tcPr>
          <w:p w14:paraId="772A0B00" w14:textId="5020648A"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27B2E576" w14:textId="12986406"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Recursos públicos </w:t>
            </w:r>
          </w:p>
        </w:tc>
        <w:tc>
          <w:tcPr>
            <w:tcW w:w="2220" w:type="dxa"/>
            <w:vAlign w:val="center"/>
          </w:tcPr>
          <w:p w14:paraId="7F8950F5" w14:textId="5D1448A7"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Transacción</w:t>
            </w:r>
          </w:p>
        </w:tc>
      </w:tr>
      <w:tr w:rsidR="002C3EAC" w:rsidRPr="00324DFD" w14:paraId="1BE44183" w14:textId="51F3B9DE" w:rsidTr="002C3EAC">
        <w:trPr>
          <w:trHeight w:val="680"/>
        </w:trPr>
        <w:tc>
          <w:tcPr>
            <w:tcW w:w="2017" w:type="dxa"/>
            <w:shd w:val="clear" w:color="000000" w:fill="F2F2F2"/>
            <w:vAlign w:val="center"/>
            <w:hideMark/>
          </w:tcPr>
          <w:p w14:paraId="242BCF74"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Contratos de gobierno</w:t>
            </w:r>
          </w:p>
        </w:tc>
        <w:tc>
          <w:tcPr>
            <w:tcW w:w="2183" w:type="dxa"/>
            <w:shd w:val="clear" w:color="auto" w:fill="auto"/>
            <w:vAlign w:val="center"/>
            <w:hideMark/>
          </w:tcPr>
          <w:p w14:paraId="3FC24BD7" w14:textId="001E31D5"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Dirección General De Contrataciones Públicas</w:t>
            </w:r>
          </w:p>
        </w:tc>
        <w:tc>
          <w:tcPr>
            <w:tcW w:w="1191" w:type="dxa"/>
            <w:vAlign w:val="center"/>
          </w:tcPr>
          <w:p w14:paraId="2D1FF1EE" w14:textId="05BDE6C4"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150A9C8B" w14:textId="7B420747"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Recursos públicos </w:t>
            </w:r>
          </w:p>
        </w:tc>
        <w:tc>
          <w:tcPr>
            <w:tcW w:w="2220" w:type="dxa"/>
            <w:vAlign w:val="center"/>
          </w:tcPr>
          <w:p w14:paraId="0E2E6506" w14:textId="6E34153E"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28ED568F" w14:textId="24E655D2" w:rsidTr="002C3EAC">
        <w:trPr>
          <w:trHeight w:val="500"/>
        </w:trPr>
        <w:tc>
          <w:tcPr>
            <w:tcW w:w="2017" w:type="dxa"/>
            <w:shd w:val="clear" w:color="000000" w:fill="F2F2F2"/>
            <w:vAlign w:val="center"/>
            <w:hideMark/>
          </w:tcPr>
          <w:p w14:paraId="1EB2003B"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Datos de auditorias</w:t>
            </w:r>
          </w:p>
        </w:tc>
        <w:tc>
          <w:tcPr>
            <w:tcW w:w="2183" w:type="dxa"/>
            <w:shd w:val="clear" w:color="auto" w:fill="auto"/>
            <w:vAlign w:val="center"/>
            <w:hideMark/>
          </w:tcPr>
          <w:p w14:paraId="2DBF8F68" w14:textId="41E32F72"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Contraloría</w:t>
            </w:r>
          </w:p>
        </w:tc>
        <w:tc>
          <w:tcPr>
            <w:tcW w:w="1191" w:type="dxa"/>
            <w:vAlign w:val="center"/>
          </w:tcPr>
          <w:p w14:paraId="00127701" w14:textId="614A9E81"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30F8B177" w14:textId="2F1E2B7A"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Regulación, procesos administrativos y registros</w:t>
            </w:r>
          </w:p>
        </w:tc>
        <w:tc>
          <w:tcPr>
            <w:tcW w:w="2220" w:type="dxa"/>
            <w:vAlign w:val="center"/>
          </w:tcPr>
          <w:p w14:paraId="33772D6F" w14:textId="5F1FDEE9"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Transacción</w:t>
            </w:r>
          </w:p>
        </w:tc>
      </w:tr>
      <w:tr w:rsidR="002C3EAC" w:rsidRPr="00324DFD" w14:paraId="41EAF00F" w14:textId="7E16D47C" w:rsidTr="002C3EAC">
        <w:trPr>
          <w:trHeight w:val="500"/>
        </w:trPr>
        <w:tc>
          <w:tcPr>
            <w:tcW w:w="2017" w:type="dxa"/>
            <w:shd w:val="clear" w:color="000000" w:fill="F2F2F2"/>
            <w:vAlign w:val="center"/>
            <w:hideMark/>
          </w:tcPr>
          <w:p w14:paraId="341E7442"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Votaciones</w:t>
            </w:r>
          </w:p>
        </w:tc>
        <w:tc>
          <w:tcPr>
            <w:tcW w:w="2183" w:type="dxa"/>
            <w:shd w:val="clear" w:color="auto" w:fill="auto"/>
            <w:vAlign w:val="center"/>
            <w:hideMark/>
          </w:tcPr>
          <w:p w14:paraId="0F5EC652" w14:textId="4734ED8D"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Tribunal Electoral</w:t>
            </w:r>
          </w:p>
        </w:tc>
        <w:tc>
          <w:tcPr>
            <w:tcW w:w="1191" w:type="dxa"/>
            <w:vAlign w:val="center"/>
          </w:tcPr>
          <w:p w14:paraId="4FE6F399" w14:textId="06AFA8A3"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1C451C92" w14:textId="3376A463"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Regulación, procesos administrativos y registros</w:t>
            </w:r>
          </w:p>
        </w:tc>
        <w:tc>
          <w:tcPr>
            <w:tcW w:w="2220" w:type="dxa"/>
            <w:vAlign w:val="center"/>
          </w:tcPr>
          <w:p w14:paraId="4CE29F18" w14:textId="64B7865B" w:rsidR="002C3EAC" w:rsidRPr="002C3EAC" w:rsidRDefault="002C3EAC" w:rsidP="002C3EAC">
            <w:pPr>
              <w:jc w:val="center"/>
              <w:rPr>
                <w:rFonts w:ascii="Century Gothic" w:eastAsia="Times New Roman" w:hAnsi="Century Gothic" w:cs="Calibri"/>
                <w:b/>
                <w:color w:val="000000" w:themeColor="text1"/>
                <w:sz w:val="18"/>
                <w:szCs w:val="18"/>
              </w:rPr>
            </w:pPr>
            <w:r w:rsidRPr="002C3EAC">
              <w:rPr>
                <w:rFonts w:ascii="Century Gothic" w:eastAsia="Times New Roman" w:hAnsi="Century Gothic" w:cs="Calibri"/>
                <w:b/>
                <w:color w:val="000000" w:themeColor="text1"/>
                <w:sz w:val="18"/>
                <w:szCs w:val="18"/>
              </w:rPr>
              <w:t>Divulgación pública</w:t>
            </w:r>
          </w:p>
        </w:tc>
      </w:tr>
      <w:tr w:rsidR="002C3EAC" w:rsidRPr="00324DFD" w14:paraId="13B100FC" w14:textId="2CFE33E9" w:rsidTr="002C3EAC">
        <w:trPr>
          <w:trHeight w:val="500"/>
        </w:trPr>
        <w:tc>
          <w:tcPr>
            <w:tcW w:w="2017" w:type="dxa"/>
            <w:shd w:val="clear" w:color="000000" w:fill="F2F2F2"/>
            <w:vAlign w:val="center"/>
            <w:hideMark/>
          </w:tcPr>
          <w:p w14:paraId="6D085918"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lastRenderedPageBreak/>
              <w:t>Decisiones judiciales</w:t>
            </w:r>
          </w:p>
        </w:tc>
        <w:tc>
          <w:tcPr>
            <w:tcW w:w="2183" w:type="dxa"/>
            <w:shd w:val="clear" w:color="auto" w:fill="auto"/>
            <w:vAlign w:val="center"/>
            <w:hideMark/>
          </w:tcPr>
          <w:p w14:paraId="744EF244" w14:textId="2844410C"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Órgano Judicial / Ministerio Púbico</w:t>
            </w:r>
          </w:p>
        </w:tc>
        <w:tc>
          <w:tcPr>
            <w:tcW w:w="1191" w:type="dxa"/>
            <w:vAlign w:val="center"/>
          </w:tcPr>
          <w:p w14:paraId="5267AB23" w14:textId="0A6B20BC"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3962C267" w14:textId="698D453A"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Regulación, procesos administrativos y registros</w:t>
            </w:r>
          </w:p>
        </w:tc>
        <w:tc>
          <w:tcPr>
            <w:tcW w:w="2220" w:type="dxa"/>
            <w:vAlign w:val="center"/>
          </w:tcPr>
          <w:p w14:paraId="2F1A4378" w14:textId="6FAA389B"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Transacción</w:t>
            </w:r>
          </w:p>
        </w:tc>
      </w:tr>
      <w:tr w:rsidR="002C3EAC" w:rsidRPr="00324DFD" w14:paraId="1C0205DE" w14:textId="1D9B138F" w:rsidTr="002C3EAC">
        <w:trPr>
          <w:trHeight w:val="1020"/>
        </w:trPr>
        <w:tc>
          <w:tcPr>
            <w:tcW w:w="2017" w:type="dxa"/>
            <w:shd w:val="clear" w:color="000000" w:fill="F2F2F2"/>
            <w:vAlign w:val="center"/>
            <w:hideMark/>
          </w:tcPr>
          <w:p w14:paraId="087F74C7"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Registro de obras de infraestructura prioritarias</w:t>
            </w:r>
          </w:p>
        </w:tc>
        <w:tc>
          <w:tcPr>
            <w:tcW w:w="2183" w:type="dxa"/>
            <w:shd w:val="clear" w:color="auto" w:fill="auto"/>
            <w:vAlign w:val="center"/>
            <w:hideMark/>
          </w:tcPr>
          <w:p w14:paraId="1CAFB6BC" w14:textId="3275E119"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Dirección General De Contrataciones Públicas / Ministerio De Obras Púbicas / Contraloría</w:t>
            </w:r>
          </w:p>
        </w:tc>
        <w:tc>
          <w:tcPr>
            <w:tcW w:w="1191" w:type="dxa"/>
            <w:vAlign w:val="center"/>
          </w:tcPr>
          <w:p w14:paraId="7A2000D3" w14:textId="77777777" w:rsidR="002C3EAC" w:rsidRDefault="002C3EAC" w:rsidP="002C3EAC">
            <w:pPr>
              <w:jc w:val="center"/>
              <w:rPr>
                <w:rFonts w:ascii="Century Gothic" w:eastAsia="Times New Roman" w:hAnsi="Century Gothic" w:cs="Calibri"/>
                <w:color w:val="000000"/>
                <w:sz w:val="18"/>
                <w:szCs w:val="18"/>
              </w:rPr>
            </w:pPr>
          </w:p>
          <w:p w14:paraId="73226629" w14:textId="639C3166"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5DA6E4C2" w14:textId="6BA5A50C"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Regulación, procesos administrativos y registros</w:t>
            </w:r>
          </w:p>
        </w:tc>
        <w:tc>
          <w:tcPr>
            <w:tcW w:w="2220" w:type="dxa"/>
            <w:vAlign w:val="center"/>
          </w:tcPr>
          <w:p w14:paraId="614A1AEE" w14:textId="704A938F"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46DDB65E" w14:textId="72F80F53" w:rsidTr="002C3EAC">
        <w:trPr>
          <w:trHeight w:val="340"/>
        </w:trPr>
        <w:tc>
          <w:tcPr>
            <w:tcW w:w="2017" w:type="dxa"/>
            <w:shd w:val="clear" w:color="000000" w:fill="F2F2F2"/>
            <w:vAlign w:val="center"/>
            <w:hideMark/>
          </w:tcPr>
          <w:p w14:paraId="14A7D8A3"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Record de reuniones</w:t>
            </w:r>
          </w:p>
        </w:tc>
        <w:tc>
          <w:tcPr>
            <w:tcW w:w="2183" w:type="dxa"/>
            <w:shd w:val="clear" w:color="auto" w:fill="auto"/>
            <w:vAlign w:val="center"/>
            <w:hideMark/>
          </w:tcPr>
          <w:p w14:paraId="062EA788" w14:textId="167966B6"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Pendiente</w:t>
            </w:r>
          </w:p>
        </w:tc>
        <w:tc>
          <w:tcPr>
            <w:tcW w:w="1191" w:type="dxa"/>
            <w:vAlign w:val="center"/>
          </w:tcPr>
          <w:p w14:paraId="29B1476C" w14:textId="1B64F5F7" w:rsidR="002C3EAC"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0F39B843" w14:textId="4CB9BB8A"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Regulación, procesos administrativos y registros</w:t>
            </w:r>
          </w:p>
        </w:tc>
        <w:tc>
          <w:tcPr>
            <w:tcW w:w="2220" w:type="dxa"/>
            <w:vAlign w:val="center"/>
          </w:tcPr>
          <w:p w14:paraId="3170CE73" w14:textId="780BBB86" w:rsidR="002C3EAC" w:rsidRPr="002C3EAC" w:rsidRDefault="002C3EAC" w:rsidP="002C3EAC">
            <w:pPr>
              <w:jc w:val="center"/>
              <w:rPr>
                <w:rFonts w:ascii="Century Gothic" w:eastAsia="Times New Roman" w:hAnsi="Century Gothic" w:cs="Calibri"/>
                <w:b/>
                <w:color w:val="000000" w:themeColor="text1"/>
                <w:sz w:val="18"/>
                <w:szCs w:val="18"/>
              </w:rPr>
            </w:pPr>
            <w:r w:rsidRPr="002C3EAC">
              <w:rPr>
                <w:rFonts w:ascii="Century Gothic" w:eastAsia="Times New Roman" w:hAnsi="Century Gothic" w:cs="Calibri"/>
                <w:b/>
                <w:color w:val="000000" w:themeColor="text1"/>
                <w:sz w:val="18"/>
                <w:szCs w:val="18"/>
              </w:rPr>
              <w:t>Divulgación pública</w:t>
            </w:r>
          </w:p>
        </w:tc>
      </w:tr>
      <w:tr w:rsidR="002C3EAC" w:rsidRPr="00324DFD" w14:paraId="12D4C144" w14:textId="4FACEFD0" w:rsidTr="002C3EAC">
        <w:trPr>
          <w:trHeight w:val="340"/>
        </w:trPr>
        <w:tc>
          <w:tcPr>
            <w:tcW w:w="2017" w:type="dxa"/>
            <w:shd w:val="clear" w:color="000000" w:fill="F2F2F2"/>
            <w:vAlign w:val="center"/>
            <w:hideMark/>
          </w:tcPr>
          <w:p w14:paraId="42AA0333"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Cambios en regulaciones</w:t>
            </w:r>
          </w:p>
        </w:tc>
        <w:tc>
          <w:tcPr>
            <w:tcW w:w="2183" w:type="dxa"/>
            <w:shd w:val="clear" w:color="auto" w:fill="auto"/>
            <w:vAlign w:val="center"/>
            <w:hideMark/>
          </w:tcPr>
          <w:p w14:paraId="0F498735" w14:textId="2445572C"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Asamblea</w:t>
            </w:r>
          </w:p>
        </w:tc>
        <w:tc>
          <w:tcPr>
            <w:tcW w:w="1191" w:type="dxa"/>
            <w:vAlign w:val="center"/>
          </w:tcPr>
          <w:p w14:paraId="58D5E25C" w14:textId="0B3CC65F"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2BD72267" w14:textId="0C5C727B"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Regulación, procesos administrativos y registros</w:t>
            </w:r>
          </w:p>
        </w:tc>
        <w:tc>
          <w:tcPr>
            <w:tcW w:w="2220" w:type="dxa"/>
            <w:vAlign w:val="center"/>
          </w:tcPr>
          <w:p w14:paraId="3878D6D4" w14:textId="7525F724" w:rsidR="002C3EAC" w:rsidRPr="002C3EAC" w:rsidRDefault="002C3EAC" w:rsidP="002C3EAC">
            <w:pPr>
              <w:jc w:val="center"/>
              <w:rPr>
                <w:rFonts w:ascii="Century Gothic" w:eastAsia="Times New Roman" w:hAnsi="Century Gothic" w:cs="Calibri"/>
                <w:b/>
                <w:color w:val="000000" w:themeColor="text1"/>
                <w:sz w:val="18"/>
                <w:szCs w:val="18"/>
              </w:rPr>
            </w:pPr>
            <w:r w:rsidRPr="002C3EAC">
              <w:rPr>
                <w:rFonts w:ascii="Century Gothic" w:eastAsia="Times New Roman" w:hAnsi="Century Gothic" w:cs="Calibri"/>
                <w:b/>
                <w:color w:val="000000" w:themeColor="text1"/>
                <w:sz w:val="18"/>
                <w:szCs w:val="18"/>
              </w:rPr>
              <w:t>Divulgación pública</w:t>
            </w:r>
          </w:p>
        </w:tc>
      </w:tr>
      <w:tr w:rsidR="002C3EAC" w:rsidRPr="00324DFD" w14:paraId="7C8111B2" w14:textId="0ED65BCF" w:rsidTr="002C3EAC">
        <w:trPr>
          <w:trHeight w:val="340"/>
        </w:trPr>
        <w:tc>
          <w:tcPr>
            <w:tcW w:w="2017" w:type="dxa"/>
            <w:shd w:val="clear" w:color="000000" w:fill="F2F2F2"/>
            <w:vAlign w:val="center"/>
            <w:hideMark/>
          </w:tcPr>
          <w:p w14:paraId="07070C59"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Promesas de campaña</w:t>
            </w:r>
          </w:p>
        </w:tc>
        <w:tc>
          <w:tcPr>
            <w:tcW w:w="2183" w:type="dxa"/>
            <w:shd w:val="clear" w:color="auto" w:fill="auto"/>
            <w:vAlign w:val="center"/>
            <w:hideMark/>
          </w:tcPr>
          <w:p w14:paraId="3471601D" w14:textId="05D1A245"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Tribunal Electoral</w:t>
            </w:r>
          </w:p>
        </w:tc>
        <w:tc>
          <w:tcPr>
            <w:tcW w:w="1191" w:type="dxa"/>
            <w:vAlign w:val="center"/>
          </w:tcPr>
          <w:p w14:paraId="302E48F3" w14:textId="3592E27C"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4065C421" w14:textId="51A087E3"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Regulación, procesos administrativos y registros</w:t>
            </w:r>
          </w:p>
        </w:tc>
        <w:tc>
          <w:tcPr>
            <w:tcW w:w="2220" w:type="dxa"/>
            <w:vAlign w:val="center"/>
          </w:tcPr>
          <w:p w14:paraId="508CD10A" w14:textId="4C871CD5"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2281A599" w14:textId="453C595B" w:rsidTr="002C3EAC">
        <w:trPr>
          <w:trHeight w:val="680"/>
        </w:trPr>
        <w:tc>
          <w:tcPr>
            <w:tcW w:w="2017" w:type="dxa"/>
            <w:shd w:val="clear" w:color="000000" w:fill="F2F2F2"/>
            <w:vAlign w:val="center"/>
            <w:hideMark/>
          </w:tcPr>
          <w:p w14:paraId="7E90DFB5"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Contratistas sancionados</w:t>
            </w:r>
          </w:p>
        </w:tc>
        <w:tc>
          <w:tcPr>
            <w:tcW w:w="2183" w:type="dxa"/>
            <w:shd w:val="clear" w:color="auto" w:fill="auto"/>
            <w:vAlign w:val="center"/>
            <w:hideMark/>
          </w:tcPr>
          <w:p w14:paraId="16E32150" w14:textId="10E9B448"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Dirección General De Contrataciones Públicas</w:t>
            </w:r>
          </w:p>
        </w:tc>
        <w:tc>
          <w:tcPr>
            <w:tcW w:w="1191" w:type="dxa"/>
            <w:vAlign w:val="center"/>
          </w:tcPr>
          <w:p w14:paraId="01B341EA" w14:textId="5F077CD2"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02CD74C7" w14:textId="1689F9F1"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Regulación, procesos administrativos y registros</w:t>
            </w:r>
          </w:p>
        </w:tc>
        <w:tc>
          <w:tcPr>
            <w:tcW w:w="2220" w:type="dxa"/>
            <w:vAlign w:val="center"/>
          </w:tcPr>
          <w:p w14:paraId="373CC10A" w14:textId="766A01D9"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756E39CD" w14:textId="30C67353" w:rsidTr="002C3EAC">
        <w:trPr>
          <w:trHeight w:val="680"/>
        </w:trPr>
        <w:tc>
          <w:tcPr>
            <w:tcW w:w="2017" w:type="dxa"/>
            <w:shd w:val="clear" w:color="000000" w:fill="F2F2F2"/>
            <w:vAlign w:val="center"/>
            <w:hideMark/>
          </w:tcPr>
          <w:p w14:paraId="62BAA683"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Quejas a procesos de adquisición</w:t>
            </w:r>
          </w:p>
        </w:tc>
        <w:tc>
          <w:tcPr>
            <w:tcW w:w="2183" w:type="dxa"/>
            <w:shd w:val="clear" w:color="auto" w:fill="auto"/>
            <w:vAlign w:val="center"/>
            <w:hideMark/>
          </w:tcPr>
          <w:p w14:paraId="2D92D7D1" w14:textId="0E66E0F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Dirección General De Contrataciones Públicas</w:t>
            </w:r>
          </w:p>
        </w:tc>
        <w:tc>
          <w:tcPr>
            <w:tcW w:w="1191" w:type="dxa"/>
            <w:vAlign w:val="center"/>
          </w:tcPr>
          <w:p w14:paraId="3CA8F69A" w14:textId="3A7CC935"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36C4C273" w14:textId="46464A4C"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Regulación, procesos administrativos y registros</w:t>
            </w:r>
          </w:p>
        </w:tc>
        <w:tc>
          <w:tcPr>
            <w:tcW w:w="2220" w:type="dxa"/>
            <w:vAlign w:val="center"/>
          </w:tcPr>
          <w:p w14:paraId="4843170F" w14:textId="5BD5E64E"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119A6A39" w14:textId="50D88778" w:rsidTr="002C3EAC">
        <w:trPr>
          <w:trHeight w:val="340"/>
        </w:trPr>
        <w:tc>
          <w:tcPr>
            <w:tcW w:w="2017" w:type="dxa"/>
            <w:shd w:val="clear" w:color="000000" w:fill="F2F2F2"/>
            <w:vAlign w:val="center"/>
            <w:hideMark/>
          </w:tcPr>
          <w:p w14:paraId="20AC5540"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Registro público de la propiedad</w:t>
            </w:r>
          </w:p>
        </w:tc>
        <w:tc>
          <w:tcPr>
            <w:tcW w:w="2183" w:type="dxa"/>
            <w:shd w:val="clear" w:color="auto" w:fill="auto"/>
            <w:vAlign w:val="center"/>
            <w:hideMark/>
          </w:tcPr>
          <w:p w14:paraId="0E4F41C2" w14:textId="3EEFE3E0"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Registro Público</w:t>
            </w:r>
          </w:p>
        </w:tc>
        <w:tc>
          <w:tcPr>
            <w:tcW w:w="1191" w:type="dxa"/>
            <w:vAlign w:val="center"/>
          </w:tcPr>
          <w:p w14:paraId="363CBDB7" w14:textId="603FD975"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6C6DE302" w14:textId="119D24D9"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Extracción de rentas</w:t>
            </w:r>
          </w:p>
        </w:tc>
        <w:tc>
          <w:tcPr>
            <w:tcW w:w="2220" w:type="dxa"/>
            <w:vAlign w:val="center"/>
          </w:tcPr>
          <w:p w14:paraId="1DD1EB73" w14:textId="37F11D92"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Registro</w:t>
            </w:r>
          </w:p>
        </w:tc>
      </w:tr>
      <w:tr w:rsidR="002C3EAC" w:rsidRPr="00324DFD" w14:paraId="0A862E30" w14:textId="194260FD" w:rsidTr="002C3EAC">
        <w:trPr>
          <w:trHeight w:val="340"/>
        </w:trPr>
        <w:tc>
          <w:tcPr>
            <w:tcW w:w="2017" w:type="dxa"/>
            <w:shd w:val="clear" w:color="000000" w:fill="F2F2F2"/>
            <w:vAlign w:val="center"/>
            <w:hideMark/>
          </w:tcPr>
          <w:p w14:paraId="6BE9CFC4"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Impuestos</w:t>
            </w:r>
          </w:p>
        </w:tc>
        <w:tc>
          <w:tcPr>
            <w:tcW w:w="2183" w:type="dxa"/>
            <w:shd w:val="clear" w:color="auto" w:fill="auto"/>
            <w:vAlign w:val="center"/>
            <w:hideMark/>
          </w:tcPr>
          <w:p w14:paraId="03D481DA" w14:textId="2B8C236E"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Ministerio De Economía Y Finanzas</w:t>
            </w:r>
          </w:p>
        </w:tc>
        <w:tc>
          <w:tcPr>
            <w:tcW w:w="1191" w:type="dxa"/>
            <w:vAlign w:val="center"/>
          </w:tcPr>
          <w:p w14:paraId="63AB4AB5" w14:textId="0C864A3A"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08846F47" w14:textId="549B4723"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Extracción de rentas</w:t>
            </w:r>
          </w:p>
        </w:tc>
        <w:tc>
          <w:tcPr>
            <w:tcW w:w="2220" w:type="dxa"/>
            <w:vAlign w:val="center"/>
          </w:tcPr>
          <w:p w14:paraId="228F84F5" w14:textId="38083EB5" w:rsidR="002C3EAC" w:rsidRPr="002C3EAC" w:rsidRDefault="002C3EAC" w:rsidP="002C3EAC">
            <w:pPr>
              <w:jc w:val="center"/>
              <w:rPr>
                <w:rFonts w:ascii="Century Gothic" w:eastAsia="Times New Roman" w:hAnsi="Century Gothic" w:cs="Calibri"/>
                <w:color w:val="000000" w:themeColor="text1"/>
                <w:sz w:val="18"/>
                <w:szCs w:val="18"/>
              </w:rPr>
            </w:pPr>
            <w:r w:rsidRPr="002C3EAC">
              <w:rPr>
                <w:rFonts w:ascii="Century Gothic" w:eastAsia="Times New Roman" w:hAnsi="Century Gothic" w:cs="Calibri"/>
                <w:color w:val="000000" w:themeColor="text1"/>
                <w:sz w:val="18"/>
                <w:szCs w:val="18"/>
              </w:rPr>
              <w:t>Transacción</w:t>
            </w:r>
          </w:p>
        </w:tc>
      </w:tr>
      <w:tr w:rsidR="002C3EAC" w:rsidRPr="00324DFD" w14:paraId="56866176" w14:textId="76EC6392" w:rsidTr="002C3EAC">
        <w:trPr>
          <w:trHeight w:val="340"/>
        </w:trPr>
        <w:tc>
          <w:tcPr>
            <w:tcW w:w="2017" w:type="dxa"/>
            <w:shd w:val="clear" w:color="000000" w:fill="F2F2F2"/>
            <w:vAlign w:val="center"/>
            <w:hideMark/>
          </w:tcPr>
          <w:p w14:paraId="58A69E6F" w14:textId="77777777"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Declaración patrimonial</w:t>
            </w:r>
          </w:p>
        </w:tc>
        <w:tc>
          <w:tcPr>
            <w:tcW w:w="2183" w:type="dxa"/>
            <w:shd w:val="clear" w:color="auto" w:fill="auto"/>
            <w:vAlign w:val="center"/>
            <w:hideMark/>
          </w:tcPr>
          <w:p w14:paraId="0B18EE9B" w14:textId="0FA11091" w:rsidR="002C3EAC" w:rsidRPr="00324DFD" w:rsidRDefault="002C3EAC" w:rsidP="002C3EAC">
            <w:pPr>
              <w:jc w:val="center"/>
              <w:rPr>
                <w:rFonts w:ascii="Century Gothic" w:eastAsia="Times New Roman" w:hAnsi="Century Gothic" w:cs="Calibri"/>
                <w:color w:val="000000"/>
                <w:sz w:val="18"/>
                <w:szCs w:val="18"/>
              </w:rPr>
            </w:pPr>
            <w:r w:rsidRPr="00324DFD">
              <w:rPr>
                <w:rFonts w:ascii="Century Gothic" w:eastAsia="Times New Roman" w:hAnsi="Century Gothic" w:cs="Calibri"/>
                <w:color w:val="000000"/>
                <w:sz w:val="18"/>
                <w:szCs w:val="18"/>
              </w:rPr>
              <w:t>Contraloría</w:t>
            </w:r>
          </w:p>
        </w:tc>
        <w:tc>
          <w:tcPr>
            <w:tcW w:w="1191" w:type="dxa"/>
            <w:vAlign w:val="center"/>
          </w:tcPr>
          <w:p w14:paraId="59C30E15" w14:textId="16DA5C0E" w:rsidR="002C3EAC" w:rsidRPr="00324DFD" w:rsidRDefault="002C3EAC" w:rsidP="002C3EAC">
            <w:pPr>
              <w:jc w:val="center"/>
              <w:rPr>
                <w:rFonts w:ascii="Century Gothic" w:eastAsia="Times New Roman" w:hAnsi="Century Gothic" w:cs="Calibri"/>
                <w:color w:val="000000"/>
                <w:sz w:val="18"/>
                <w:szCs w:val="18"/>
              </w:rPr>
            </w:pPr>
            <w:r>
              <w:rPr>
                <w:rFonts w:ascii="Century Gothic" w:eastAsia="Times New Roman" w:hAnsi="Century Gothic" w:cs="Calibri"/>
                <w:color w:val="000000"/>
                <w:sz w:val="18"/>
                <w:szCs w:val="18"/>
              </w:rPr>
              <w:t>Sí</w:t>
            </w:r>
          </w:p>
        </w:tc>
        <w:tc>
          <w:tcPr>
            <w:tcW w:w="1980" w:type="dxa"/>
            <w:vAlign w:val="center"/>
          </w:tcPr>
          <w:p w14:paraId="30898951" w14:textId="6404ED4B" w:rsidR="002C3EAC" w:rsidRPr="002C1E83" w:rsidRDefault="002C3EAC" w:rsidP="002C3EAC">
            <w:pPr>
              <w:jc w:val="center"/>
              <w:rPr>
                <w:rFonts w:ascii="Century Gothic" w:eastAsia="Times New Roman" w:hAnsi="Century Gothic" w:cs="Calibri"/>
                <w:color w:val="000000" w:themeColor="text1"/>
                <w:sz w:val="18"/>
                <w:szCs w:val="18"/>
              </w:rPr>
            </w:pPr>
            <w:r w:rsidRPr="002C1E83">
              <w:rPr>
                <w:rFonts w:ascii="Century Gothic" w:eastAsia="Times New Roman" w:hAnsi="Century Gothic" w:cs="Calibri"/>
                <w:color w:val="000000" w:themeColor="text1"/>
                <w:sz w:val="18"/>
                <w:szCs w:val="18"/>
              </w:rPr>
              <w:t>Extracción de rentas</w:t>
            </w:r>
          </w:p>
        </w:tc>
        <w:tc>
          <w:tcPr>
            <w:tcW w:w="2220" w:type="dxa"/>
            <w:vAlign w:val="center"/>
          </w:tcPr>
          <w:p w14:paraId="65B4DD8F" w14:textId="2F5A8956" w:rsidR="002C3EAC" w:rsidRPr="002C3EAC" w:rsidRDefault="002C3EAC" w:rsidP="002C3EAC">
            <w:pPr>
              <w:jc w:val="center"/>
              <w:rPr>
                <w:rFonts w:ascii="Century Gothic" w:eastAsia="Times New Roman" w:hAnsi="Century Gothic" w:cs="Calibri"/>
                <w:b/>
                <w:color w:val="000000" w:themeColor="text1"/>
                <w:sz w:val="18"/>
                <w:szCs w:val="18"/>
              </w:rPr>
            </w:pPr>
            <w:r w:rsidRPr="002C3EAC">
              <w:rPr>
                <w:rFonts w:ascii="Century Gothic" w:eastAsia="Times New Roman" w:hAnsi="Century Gothic" w:cs="Calibri"/>
                <w:b/>
                <w:color w:val="000000" w:themeColor="text1"/>
                <w:sz w:val="18"/>
                <w:szCs w:val="18"/>
              </w:rPr>
              <w:t>Divulgación pública</w:t>
            </w:r>
          </w:p>
        </w:tc>
      </w:tr>
    </w:tbl>
    <w:p w14:paraId="38F01233" w14:textId="1AB9D4FC" w:rsidR="003F7B03" w:rsidRPr="008B3C2F" w:rsidRDefault="008B3C2F" w:rsidP="008B3C2F">
      <w:pPr>
        <w:jc w:val="right"/>
        <w:rPr>
          <w:rFonts w:ascii="Century Gothic" w:hAnsi="Century Gothic"/>
          <w:color w:val="000000" w:themeColor="text1"/>
          <w:sz w:val="20"/>
          <w:szCs w:val="20"/>
        </w:rPr>
      </w:pPr>
      <w:r w:rsidRPr="008B3C2F">
        <w:rPr>
          <w:rFonts w:ascii="Century Gothic" w:hAnsi="Century Gothic"/>
          <w:color w:val="000000" w:themeColor="text1"/>
          <w:sz w:val="20"/>
          <w:szCs w:val="20"/>
        </w:rPr>
        <w:t>Elaboración propia con información de ANTAI.</w:t>
      </w:r>
    </w:p>
    <w:p w14:paraId="2D84DC4A" w14:textId="499FAA75" w:rsidR="00ED1AE3" w:rsidRDefault="00ED1AE3" w:rsidP="006F345A">
      <w:pPr>
        <w:ind w:firstLine="720"/>
        <w:jc w:val="both"/>
        <w:rPr>
          <w:rFonts w:ascii="Century Gothic" w:hAnsi="Century Gothic"/>
          <w:color w:val="000000" w:themeColor="text1"/>
          <w:sz w:val="24"/>
          <w:szCs w:val="24"/>
        </w:rPr>
      </w:pPr>
    </w:p>
    <w:p w14:paraId="614DB108" w14:textId="77777777" w:rsidR="00EA31E1" w:rsidRDefault="009F4C86" w:rsidP="00EA31E1">
      <w:pPr>
        <w:jc w:val="both"/>
        <w:rPr>
          <w:rFonts w:ascii="Century Gothic" w:hAnsi="Century Gothic"/>
          <w:color w:val="000000" w:themeColor="text1"/>
          <w:sz w:val="24"/>
          <w:szCs w:val="24"/>
        </w:rPr>
      </w:pPr>
      <w:r>
        <w:rPr>
          <w:rFonts w:ascii="Century Gothic" w:hAnsi="Century Gothic"/>
          <w:color w:val="000000" w:themeColor="text1"/>
          <w:sz w:val="24"/>
          <w:szCs w:val="24"/>
        </w:rPr>
        <w:tab/>
        <w:t>Este mapeo debe ser ampliado, aplicando las recomendaciones y recursos de la Guía de Implementación del PIDA.</w:t>
      </w:r>
    </w:p>
    <w:p w14:paraId="58F4A0D0" w14:textId="77777777" w:rsidR="00EA31E1" w:rsidRDefault="00EA31E1" w:rsidP="00EA31E1">
      <w:pPr>
        <w:jc w:val="both"/>
        <w:rPr>
          <w:rFonts w:ascii="Century Gothic" w:hAnsi="Century Gothic"/>
          <w:color w:val="000000" w:themeColor="text1"/>
          <w:sz w:val="24"/>
          <w:szCs w:val="24"/>
        </w:rPr>
      </w:pPr>
    </w:p>
    <w:p w14:paraId="555A2E78" w14:textId="77777777" w:rsidR="00EA31E1" w:rsidRDefault="00EA31E1" w:rsidP="00EA31E1">
      <w:pPr>
        <w:jc w:val="both"/>
        <w:rPr>
          <w:rFonts w:ascii="Century Gothic" w:hAnsi="Century Gothic"/>
          <w:color w:val="000000" w:themeColor="text1"/>
          <w:sz w:val="24"/>
          <w:szCs w:val="24"/>
        </w:rPr>
      </w:pPr>
    </w:p>
    <w:p w14:paraId="72963449" w14:textId="77777777" w:rsidR="00EA31E1" w:rsidRDefault="00EA31E1" w:rsidP="00EA31E1">
      <w:pPr>
        <w:jc w:val="both"/>
        <w:rPr>
          <w:rFonts w:ascii="Century Gothic" w:hAnsi="Century Gothic"/>
          <w:color w:val="000000" w:themeColor="text1"/>
          <w:sz w:val="24"/>
          <w:szCs w:val="24"/>
        </w:rPr>
      </w:pPr>
    </w:p>
    <w:p w14:paraId="29298AD1" w14:textId="77777777" w:rsidR="00EA31E1" w:rsidRDefault="00EA31E1" w:rsidP="00EA31E1">
      <w:pPr>
        <w:jc w:val="both"/>
        <w:rPr>
          <w:rFonts w:ascii="Century Gothic" w:hAnsi="Century Gothic"/>
          <w:color w:val="000000" w:themeColor="text1"/>
          <w:sz w:val="24"/>
          <w:szCs w:val="24"/>
        </w:rPr>
      </w:pPr>
    </w:p>
    <w:p w14:paraId="798D5B97" w14:textId="77777777" w:rsidR="00EA31E1" w:rsidRDefault="00EA31E1" w:rsidP="00EA31E1">
      <w:pPr>
        <w:jc w:val="both"/>
        <w:rPr>
          <w:rFonts w:ascii="Century Gothic" w:hAnsi="Century Gothic"/>
          <w:color w:val="000000" w:themeColor="text1"/>
          <w:sz w:val="24"/>
          <w:szCs w:val="24"/>
        </w:rPr>
      </w:pPr>
    </w:p>
    <w:p w14:paraId="705FF4A6" w14:textId="77777777" w:rsidR="00EA31E1" w:rsidRDefault="00EA31E1" w:rsidP="00EA31E1">
      <w:pPr>
        <w:jc w:val="both"/>
        <w:rPr>
          <w:rFonts w:ascii="Century Gothic" w:hAnsi="Century Gothic"/>
          <w:color w:val="000000" w:themeColor="text1"/>
          <w:sz w:val="24"/>
          <w:szCs w:val="24"/>
        </w:rPr>
      </w:pPr>
    </w:p>
    <w:p w14:paraId="3111156D" w14:textId="77777777" w:rsidR="00EA31E1" w:rsidRDefault="00EA31E1" w:rsidP="00EA31E1">
      <w:pPr>
        <w:jc w:val="both"/>
        <w:rPr>
          <w:rFonts w:ascii="Century Gothic" w:hAnsi="Century Gothic"/>
          <w:color w:val="000000" w:themeColor="text1"/>
          <w:sz w:val="24"/>
          <w:szCs w:val="24"/>
        </w:rPr>
      </w:pPr>
    </w:p>
    <w:p w14:paraId="16CA53CE" w14:textId="77777777" w:rsidR="00EA31E1" w:rsidRDefault="00EA31E1" w:rsidP="00EA31E1">
      <w:pPr>
        <w:jc w:val="both"/>
        <w:rPr>
          <w:rFonts w:ascii="Century Gothic" w:hAnsi="Century Gothic"/>
          <w:color w:val="000000" w:themeColor="text1"/>
          <w:sz w:val="24"/>
          <w:szCs w:val="24"/>
        </w:rPr>
      </w:pPr>
    </w:p>
    <w:p w14:paraId="21C3CEDC" w14:textId="77777777" w:rsidR="00EA31E1" w:rsidRDefault="00EA31E1" w:rsidP="00EA31E1">
      <w:pPr>
        <w:jc w:val="both"/>
        <w:rPr>
          <w:rFonts w:ascii="Century Gothic" w:hAnsi="Century Gothic"/>
          <w:color w:val="000000" w:themeColor="text1"/>
          <w:sz w:val="24"/>
          <w:szCs w:val="24"/>
        </w:rPr>
      </w:pPr>
    </w:p>
    <w:p w14:paraId="073568BB" w14:textId="77777777" w:rsidR="00EA31E1" w:rsidRDefault="00EA31E1" w:rsidP="00EA31E1">
      <w:pPr>
        <w:jc w:val="both"/>
        <w:rPr>
          <w:rFonts w:ascii="Century Gothic" w:hAnsi="Century Gothic"/>
          <w:color w:val="000000" w:themeColor="text1"/>
          <w:sz w:val="24"/>
          <w:szCs w:val="24"/>
        </w:rPr>
      </w:pPr>
    </w:p>
    <w:p w14:paraId="306289DB" w14:textId="77777777" w:rsidR="00EA31E1" w:rsidRDefault="00EA31E1" w:rsidP="00EA31E1">
      <w:pPr>
        <w:jc w:val="both"/>
        <w:rPr>
          <w:rFonts w:ascii="Century Gothic" w:hAnsi="Century Gothic"/>
          <w:color w:val="000000" w:themeColor="text1"/>
          <w:sz w:val="24"/>
          <w:szCs w:val="24"/>
        </w:rPr>
      </w:pPr>
    </w:p>
    <w:p w14:paraId="3573CA7F" w14:textId="77777777" w:rsidR="00EA31E1" w:rsidRDefault="00EA31E1" w:rsidP="00EA31E1">
      <w:pPr>
        <w:jc w:val="both"/>
        <w:rPr>
          <w:rFonts w:ascii="Century Gothic" w:hAnsi="Century Gothic"/>
          <w:color w:val="000000" w:themeColor="text1"/>
          <w:sz w:val="24"/>
          <w:szCs w:val="24"/>
        </w:rPr>
      </w:pPr>
      <w:bookmarkStart w:id="18" w:name="_GoBack"/>
      <w:bookmarkEnd w:id="18"/>
    </w:p>
    <w:p w14:paraId="0C53B754" w14:textId="39DB846B" w:rsidR="00AF76F0" w:rsidRPr="00EA31E1" w:rsidRDefault="00AF76F0" w:rsidP="00EA31E1">
      <w:pPr>
        <w:pStyle w:val="Ttulo1"/>
        <w:rPr>
          <w:rFonts w:ascii="Century Gothic" w:hAnsi="Century Gothic"/>
          <w:sz w:val="24"/>
          <w:szCs w:val="24"/>
        </w:rPr>
      </w:pPr>
      <w:bookmarkStart w:id="19" w:name="_Toc100251364"/>
      <w:r w:rsidRPr="00EA31E1">
        <w:rPr>
          <w:rFonts w:ascii="Century Gothic" w:hAnsi="Century Gothic"/>
        </w:rPr>
        <w:lastRenderedPageBreak/>
        <w:t>Hallazgos y Recomendaciones</w:t>
      </w:r>
      <w:bookmarkEnd w:id="19"/>
    </w:p>
    <w:p w14:paraId="4115CC79" w14:textId="7C521731" w:rsidR="009D77E7" w:rsidRDefault="009D77E7" w:rsidP="009D77E7"/>
    <w:p w14:paraId="7450BFD0" w14:textId="7D52E94E" w:rsidR="009D77E7" w:rsidRPr="009D77E7" w:rsidRDefault="009D77E7" w:rsidP="009D77E7">
      <w:pPr>
        <w:jc w:val="both"/>
        <w:rPr>
          <w:rFonts w:ascii="Century Gothic" w:hAnsi="Century Gothic"/>
          <w:sz w:val="24"/>
          <w:szCs w:val="24"/>
        </w:rPr>
      </w:pPr>
      <w:r>
        <w:rPr>
          <w:rFonts w:ascii="Century Gothic" w:hAnsi="Century Gothic"/>
          <w:sz w:val="24"/>
          <w:szCs w:val="24"/>
        </w:rPr>
        <w:tab/>
        <w:t>En el marco del avance en la implementación del PIDA en Panamá y a partir de este primer mapeo y análisis que deriva de la normativa vigente y actores involucrados en la agenda de datos abiertos, transparencia y anticorrupción, destacan los siguientes hallazgos y recomendaciones:</w:t>
      </w:r>
    </w:p>
    <w:p w14:paraId="6C67C658" w14:textId="64311CD2" w:rsidR="00692875" w:rsidRPr="000E696C" w:rsidRDefault="00692875" w:rsidP="003705BF">
      <w:pPr>
        <w:rPr>
          <w:rFonts w:ascii="Century Gothic" w:hAnsi="Century Gothic"/>
          <w:color w:val="000000" w:themeColor="text1"/>
          <w:sz w:val="24"/>
          <w:szCs w:val="24"/>
        </w:rPr>
      </w:pPr>
    </w:p>
    <w:p w14:paraId="22011B59" w14:textId="6E7F6DF4" w:rsidR="005510C5" w:rsidRDefault="005510C5" w:rsidP="005510C5">
      <w:pPr>
        <w:tabs>
          <w:tab w:val="left" w:pos="709"/>
        </w:tabs>
        <w:jc w:val="both"/>
        <w:rPr>
          <w:rFonts w:ascii="Century Gothic" w:hAnsi="Century Gothic"/>
          <w:color w:val="000000" w:themeColor="text1"/>
          <w:sz w:val="24"/>
          <w:szCs w:val="24"/>
          <w:lang w:val="es-US"/>
        </w:rPr>
      </w:pPr>
      <w:r>
        <w:rPr>
          <w:rFonts w:ascii="Century Gothic" w:hAnsi="Century Gothic"/>
          <w:color w:val="000000" w:themeColor="text1"/>
          <w:sz w:val="24"/>
          <w:szCs w:val="24"/>
          <w:lang w:val="es-US"/>
        </w:rPr>
        <w:tab/>
        <w:t xml:space="preserve">Uno de los principales hallazgos es que Panamá cuenta </w:t>
      </w:r>
      <w:r w:rsidR="00692875" w:rsidRPr="000E696C">
        <w:rPr>
          <w:rFonts w:ascii="Century Gothic" w:hAnsi="Century Gothic"/>
          <w:color w:val="000000" w:themeColor="text1"/>
          <w:sz w:val="24"/>
          <w:szCs w:val="24"/>
          <w:lang w:val="es-US"/>
        </w:rPr>
        <w:t xml:space="preserve"> </w:t>
      </w:r>
      <w:r>
        <w:rPr>
          <w:rFonts w:ascii="Century Gothic" w:hAnsi="Century Gothic"/>
          <w:color w:val="000000" w:themeColor="text1"/>
          <w:sz w:val="24"/>
          <w:szCs w:val="24"/>
          <w:lang w:val="es-US"/>
        </w:rPr>
        <w:t>con un marco normativo sólido en materia de datos abiertos, lo que permitirá avanzar con mayor facilidad en la revisión de los conjuntos de datos prioritarios para efectos del PIDA. Por lo que el siguiente paso corresponde a identificar</w:t>
      </w:r>
      <w:r w:rsidR="00776D8E">
        <w:rPr>
          <w:rFonts w:ascii="Century Gothic" w:hAnsi="Century Gothic"/>
          <w:color w:val="000000" w:themeColor="text1"/>
          <w:sz w:val="24"/>
          <w:szCs w:val="24"/>
          <w:lang w:val="es-US"/>
        </w:rPr>
        <w:t xml:space="preserve"> en</w:t>
      </w:r>
      <w:r w:rsidR="00765E83">
        <w:rPr>
          <w:rFonts w:ascii="Century Gothic" w:hAnsi="Century Gothic"/>
          <w:color w:val="000000" w:themeColor="text1"/>
          <w:sz w:val="24"/>
          <w:szCs w:val="24"/>
          <w:lang w:val="es-US"/>
        </w:rPr>
        <w:t xml:space="preserve"> profundidad </w:t>
      </w:r>
      <w:r>
        <w:rPr>
          <w:rFonts w:ascii="Century Gothic" w:hAnsi="Century Gothic"/>
          <w:color w:val="000000" w:themeColor="text1"/>
          <w:sz w:val="24"/>
          <w:szCs w:val="24"/>
          <w:lang w:val="es-US"/>
        </w:rPr>
        <w:t>los conjuntos de datos con los que se cuenta actualmente</w:t>
      </w:r>
      <w:r w:rsidR="00776D8E">
        <w:rPr>
          <w:rFonts w:ascii="Century Gothic" w:hAnsi="Century Gothic"/>
          <w:color w:val="000000" w:themeColor="text1"/>
          <w:sz w:val="24"/>
          <w:szCs w:val="24"/>
          <w:lang w:val="es-US"/>
        </w:rPr>
        <w:t>,</w:t>
      </w:r>
      <w:r>
        <w:rPr>
          <w:rFonts w:ascii="Century Gothic" w:hAnsi="Century Gothic"/>
          <w:color w:val="000000" w:themeColor="text1"/>
          <w:sz w:val="24"/>
          <w:szCs w:val="24"/>
          <w:lang w:val="es-US"/>
        </w:rPr>
        <w:t xml:space="preserve"> y evaluar la calidad de la información, para así determinar cuáles conjuntos de datos hacen falta y qué tipo de información debe ser detallada</w:t>
      </w:r>
      <w:r w:rsidR="00776D8E">
        <w:rPr>
          <w:rFonts w:ascii="Century Gothic" w:hAnsi="Century Gothic"/>
          <w:color w:val="000000" w:themeColor="text1"/>
          <w:sz w:val="24"/>
          <w:szCs w:val="24"/>
          <w:lang w:val="es-US"/>
        </w:rPr>
        <w:t xml:space="preserve"> (Gap Analysis)</w:t>
      </w:r>
      <w:r>
        <w:rPr>
          <w:rFonts w:ascii="Century Gothic" w:hAnsi="Century Gothic"/>
          <w:color w:val="000000" w:themeColor="text1"/>
          <w:sz w:val="24"/>
          <w:szCs w:val="24"/>
          <w:lang w:val="es-US"/>
        </w:rPr>
        <w:t>. Se recomienda utilizar como una base los datos descritos en apartados anteriores que el PIDA sugiere directamente,</w:t>
      </w:r>
    </w:p>
    <w:p w14:paraId="7B6ADBDB" w14:textId="77777777" w:rsidR="005510C5" w:rsidRDefault="005510C5" w:rsidP="005510C5">
      <w:pPr>
        <w:tabs>
          <w:tab w:val="left" w:pos="709"/>
        </w:tabs>
        <w:jc w:val="both"/>
        <w:rPr>
          <w:rFonts w:ascii="Century Gothic" w:hAnsi="Century Gothic"/>
          <w:color w:val="000000" w:themeColor="text1"/>
          <w:sz w:val="24"/>
          <w:szCs w:val="24"/>
          <w:lang w:val="es-US"/>
        </w:rPr>
      </w:pPr>
    </w:p>
    <w:p w14:paraId="53A92080" w14:textId="5AE1356C" w:rsidR="00D60A20" w:rsidRDefault="005510C5" w:rsidP="00D60A20">
      <w:pPr>
        <w:tabs>
          <w:tab w:val="left" w:pos="709"/>
        </w:tabs>
        <w:jc w:val="both"/>
        <w:rPr>
          <w:rFonts w:ascii="Century Gothic" w:hAnsi="Century Gothic"/>
          <w:color w:val="000000" w:themeColor="text1"/>
          <w:sz w:val="24"/>
          <w:szCs w:val="24"/>
          <w:lang w:val="es-US"/>
        </w:rPr>
      </w:pPr>
      <w:r>
        <w:rPr>
          <w:rFonts w:ascii="Century Gothic" w:hAnsi="Century Gothic"/>
          <w:color w:val="000000" w:themeColor="text1"/>
          <w:sz w:val="24"/>
          <w:szCs w:val="24"/>
          <w:lang w:val="es-US"/>
        </w:rPr>
        <w:tab/>
        <w:t>Se identifica un núcleo base</w:t>
      </w:r>
      <w:r w:rsidR="00B96868">
        <w:rPr>
          <w:rFonts w:ascii="Century Gothic" w:hAnsi="Century Gothic"/>
          <w:color w:val="000000" w:themeColor="text1"/>
          <w:sz w:val="24"/>
          <w:szCs w:val="24"/>
          <w:lang w:val="es-US"/>
        </w:rPr>
        <w:t xml:space="preserve"> de actores</w:t>
      </w:r>
      <w:r>
        <w:rPr>
          <w:rFonts w:ascii="Century Gothic" w:hAnsi="Century Gothic"/>
          <w:color w:val="000000" w:themeColor="text1"/>
          <w:sz w:val="24"/>
          <w:szCs w:val="24"/>
          <w:lang w:val="es-US"/>
        </w:rPr>
        <w:t xml:space="preserve"> muy sólido para la coordinación y facilitación de los datos abiertos que se van a priorizar, pero se recomienda establecer un modelo de gobernanza más </w:t>
      </w:r>
      <w:r w:rsidR="00D60A20">
        <w:rPr>
          <w:rFonts w:ascii="Century Gothic" w:hAnsi="Century Gothic"/>
          <w:color w:val="000000" w:themeColor="text1"/>
          <w:sz w:val="24"/>
          <w:szCs w:val="24"/>
          <w:lang w:val="es-US"/>
        </w:rPr>
        <w:t xml:space="preserve">operativo que permita avanzar de manera ordenada y eficaz en la producción, recolección y apertura de los conjuntos de datos prioritarios. Además, una vez que se evalúe la calidad de los datos se debe considerar el fortalecimiento de capacidades para la apertura de datos de todas aquellas instituciones </w:t>
      </w:r>
      <w:r w:rsidR="00B96868">
        <w:rPr>
          <w:rFonts w:ascii="Century Gothic" w:hAnsi="Century Gothic"/>
          <w:color w:val="000000" w:themeColor="text1"/>
          <w:sz w:val="24"/>
          <w:szCs w:val="24"/>
          <w:lang w:val="es-US"/>
        </w:rPr>
        <w:t xml:space="preserve">y organizaciones de sociedad civil </w:t>
      </w:r>
      <w:r w:rsidR="00D60A20">
        <w:rPr>
          <w:rFonts w:ascii="Century Gothic" w:hAnsi="Century Gothic"/>
          <w:color w:val="000000" w:themeColor="text1"/>
          <w:sz w:val="24"/>
          <w:szCs w:val="24"/>
          <w:lang w:val="es-US"/>
        </w:rPr>
        <w:t>asociadas a este proceso.</w:t>
      </w:r>
    </w:p>
    <w:p w14:paraId="0CCB461B" w14:textId="6D4D336D" w:rsidR="00EA676C" w:rsidRDefault="00EA676C" w:rsidP="00D60A20">
      <w:pPr>
        <w:tabs>
          <w:tab w:val="left" w:pos="709"/>
        </w:tabs>
        <w:jc w:val="both"/>
        <w:rPr>
          <w:rFonts w:ascii="Century Gothic" w:hAnsi="Century Gothic"/>
          <w:color w:val="000000" w:themeColor="text1"/>
          <w:sz w:val="24"/>
          <w:szCs w:val="24"/>
          <w:lang w:val="es-US"/>
        </w:rPr>
      </w:pPr>
    </w:p>
    <w:p w14:paraId="45BAD096" w14:textId="7EF3B998" w:rsidR="00EA676C" w:rsidRDefault="00EA676C" w:rsidP="00D60A20">
      <w:pPr>
        <w:tabs>
          <w:tab w:val="left" w:pos="709"/>
        </w:tabs>
        <w:jc w:val="both"/>
        <w:rPr>
          <w:rFonts w:ascii="Century Gothic" w:hAnsi="Century Gothic"/>
          <w:color w:val="000000" w:themeColor="text1"/>
          <w:sz w:val="24"/>
          <w:szCs w:val="24"/>
          <w:lang w:val="es-US"/>
        </w:rPr>
      </w:pPr>
      <w:r>
        <w:rPr>
          <w:rFonts w:ascii="Century Gothic" w:hAnsi="Century Gothic"/>
          <w:color w:val="000000" w:themeColor="text1"/>
          <w:sz w:val="24"/>
          <w:szCs w:val="24"/>
          <w:lang w:val="es-US"/>
        </w:rPr>
        <w:tab/>
        <w:t xml:space="preserve">En la siguiente etapa del acompañamiento técnico el enfoque está </w:t>
      </w:r>
      <w:r w:rsidR="00AE36EF">
        <w:rPr>
          <w:rFonts w:ascii="Century Gothic" w:hAnsi="Century Gothic"/>
          <w:color w:val="000000" w:themeColor="text1"/>
          <w:sz w:val="24"/>
          <w:szCs w:val="24"/>
          <w:lang w:val="es-US"/>
        </w:rPr>
        <w:t>en el fortalecimiento del modelo de gobernanza del Grupo de Trabajo de Datos Abiertos de Panamá. A</w:t>
      </w:r>
      <w:r w:rsidR="00166F20">
        <w:rPr>
          <w:rFonts w:ascii="Century Gothic" w:hAnsi="Century Gothic"/>
          <w:color w:val="000000" w:themeColor="text1"/>
          <w:sz w:val="24"/>
          <w:szCs w:val="24"/>
          <w:lang w:val="es-US"/>
        </w:rPr>
        <w:t xml:space="preserve"> través de </w:t>
      </w:r>
      <w:r w:rsidR="00AE36EF">
        <w:rPr>
          <w:rFonts w:ascii="Century Gothic" w:hAnsi="Century Gothic"/>
          <w:color w:val="000000" w:themeColor="text1"/>
          <w:sz w:val="24"/>
          <w:szCs w:val="24"/>
          <w:lang w:val="es-US"/>
        </w:rPr>
        <w:t xml:space="preserve">información documental, </w:t>
      </w:r>
      <w:r w:rsidR="00166F20">
        <w:rPr>
          <w:rFonts w:ascii="Century Gothic" w:hAnsi="Century Gothic"/>
          <w:color w:val="000000" w:themeColor="text1"/>
          <w:sz w:val="24"/>
          <w:szCs w:val="24"/>
          <w:lang w:val="es-US"/>
        </w:rPr>
        <w:t>entrevistas</w:t>
      </w:r>
      <w:r w:rsidR="00AE36EF">
        <w:rPr>
          <w:rFonts w:ascii="Century Gothic" w:hAnsi="Century Gothic"/>
          <w:color w:val="000000" w:themeColor="text1"/>
          <w:sz w:val="24"/>
          <w:szCs w:val="24"/>
          <w:lang w:val="es-US"/>
        </w:rPr>
        <w:t xml:space="preserve"> y un taller con representantes de instituciones públicas, sociedad civil, Academia y sector privado</w:t>
      </w:r>
      <w:r w:rsidR="00CB2857">
        <w:rPr>
          <w:rFonts w:ascii="Century Gothic" w:hAnsi="Century Gothic"/>
          <w:color w:val="000000" w:themeColor="text1"/>
          <w:sz w:val="24"/>
          <w:szCs w:val="24"/>
          <w:lang w:val="es-US"/>
        </w:rPr>
        <w:t>,</w:t>
      </w:r>
      <w:r w:rsidR="00AE36EF">
        <w:rPr>
          <w:rFonts w:ascii="Century Gothic" w:hAnsi="Century Gothic"/>
          <w:color w:val="000000" w:themeColor="text1"/>
          <w:sz w:val="24"/>
          <w:szCs w:val="24"/>
          <w:lang w:val="es-US"/>
        </w:rPr>
        <w:t xml:space="preserve"> se pretende identificar la forma de organización, periodicidad de reuniones, mecanismo de coordinación y seguimiento y los espacios de relacionamiento con sociedad civil</w:t>
      </w:r>
      <w:r w:rsidR="00166F20">
        <w:rPr>
          <w:rFonts w:ascii="Century Gothic" w:hAnsi="Century Gothic"/>
          <w:color w:val="000000" w:themeColor="text1"/>
          <w:sz w:val="24"/>
          <w:szCs w:val="24"/>
          <w:lang w:val="es-US"/>
        </w:rPr>
        <w:t xml:space="preserve"> </w:t>
      </w:r>
      <w:r w:rsidR="00CB2857">
        <w:rPr>
          <w:rFonts w:ascii="Century Gothic" w:hAnsi="Century Gothic"/>
          <w:color w:val="000000" w:themeColor="text1"/>
          <w:sz w:val="24"/>
          <w:szCs w:val="24"/>
          <w:lang w:val="es-US"/>
        </w:rPr>
        <w:t>así como los plantes de trabajo o políticas internas para sistematizar y construir las recomendaciones que permitan la efectiva gobernanza del Grupo.</w:t>
      </w:r>
      <w:r w:rsidR="00190C8C">
        <w:rPr>
          <w:rFonts w:ascii="Century Gothic" w:hAnsi="Century Gothic"/>
          <w:color w:val="000000" w:themeColor="text1"/>
          <w:sz w:val="24"/>
          <w:szCs w:val="24"/>
          <w:lang w:val="es-US"/>
        </w:rPr>
        <w:t xml:space="preserve"> La propuesta de esta etapa se detalla en documento anexo.</w:t>
      </w:r>
    </w:p>
    <w:p w14:paraId="22822CD9" w14:textId="77777777" w:rsidR="00D60A20" w:rsidRDefault="00D60A20" w:rsidP="00D60A20">
      <w:pPr>
        <w:tabs>
          <w:tab w:val="left" w:pos="709"/>
        </w:tabs>
        <w:jc w:val="both"/>
        <w:rPr>
          <w:rFonts w:ascii="Century Gothic" w:hAnsi="Century Gothic"/>
          <w:color w:val="000000" w:themeColor="text1"/>
          <w:sz w:val="24"/>
          <w:szCs w:val="24"/>
          <w:lang w:val="es-US"/>
        </w:rPr>
      </w:pPr>
    </w:p>
    <w:p w14:paraId="57DD1794" w14:textId="62D6ABD2" w:rsidR="00D60A20" w:rsidRDefault="00D60A20" w:rsidP="00D60A20">
      <w:pPr>
        <w:tabs>
          <w:tab w:val="left" w:pos="709"/>
        </w:tabs>
        <w:jc w:val="both"/>
        <w:rPr>
          <w:rFonts w:ascii="Century Gothic" w:hAnsi="Century Gothic"/>
          <w:color w:val="000000" w:themeColor="text1"/>
          <w:sz w:val="24"/>
          <w:szCs w:val="24"/>
          <w:lang w:val="es-US"/>
        </w:rPr>
      </w:pPr>
      <w:r>
        <w:rPr>
          <w:rFonts w:ascii="Century Gothic" w:hAnsi="Century Gothic"/>
          <w:color w:val="000000" w:themeColor="text1"/>
          <w:sz w:val="24"/>
          <w:szCs w:val="24"/>
          <w:lang w:val="es-US"/>
        </w:rPr>
        <w:tab/>
        <w:t>Si aún no se cuentan con documentos técnicos, más allá de la Guía de Apertura de Datos Públicos, se recomienda desarrollar dichas herramientas</w:t>
      </w:r>
      <w:r w:rsidR="00692875" w:rsidRPr="000E696C">
        <w:rPr>
          <w:rFonts w:ascii="Century Gothic" w:hAnsi="Century Gothic"/>
          <w:color w:val="000000" w:themeColor="text1"/>
          <w:sz w:val="24"/>
          <w:szCs w:val="24"/>
          <w:lang w:val="es-MX"/>
        </w:rPr>
        <w:t xml:space="preserve"> que promuevan estándares y apego a mejores prácticas nacionales e internacionales, para así incrementar la interoperabilidad de las bases de datos publicadas.</w:t>
      </w:r>
      <w:r w:rsidR="009F4C86">
        <w:rPr>
          <w:rFonts w:ascii="Century Gothic" w:hAnsi="Century Gothic"/>
          <w:color w:val="000000" w:themeColor="text1"/>
          <w:sz w:val="24"/>
          <w:szCs w:val="24"/>
          <w:lang w:val="es-MX"/>
        </w:rPr>
        <w:t xml:space="preserve"> Se recomiendan las “Hojas de Ruta” que los Gobiernos de </w:t>
      </w:r>
      <w:r w:rsidR="009F4C86">
        <w:rPr>
          <w:rFonts w:ascii="Century Gothic" w:hAnsi="Century Gothic"/>
          <w:color w:val="000000" w:themeColor="text1"/>
          <w:sz w:val="24"/>
          <w:szCs w:val="24"/>
          <w:lang w:val="es-MX"/>
        </w:rPr>
        <w:lastRenderedPageBreak/>
        <w:t>Colombia y Ecuador desarrollaron en el marco de la implementación del PIDA.</w:t>
      </w:r>
    </w:p>
    <w:p w14:paraId="0CDADF0F" w14:textId="77777777" w:rsidR="00D60A20" w:rsidRDefault="00D60A20" w:rsidP="00D60A20">
      <w:pPr>
        <w:tabs>
          <w:tab w:val="left" w:pos="709"/>
        </w:tabs>
        <w:jc w:val="both"/>
        <w:rPr>
          <w:rFonts w:ascii="Century Gothic" w:hAnsi="Century Gothic"/>
          <w:color w:val="000000" w:themeColor="text1"/>
          <w:sz w:val="24"/>
          <w:szCs w:val="24"/>
          <w:lang w:val="es-US"/>
        </w:rPr>
      </w:pPr>
    </w:p>
    <w:p w14:paraId="25439EDC" w14:textId="3356F14B" w:rsidR="003F3472" w:rsidRPr="00B96868" w:rsidRDefault="00D60A20" w:rsidP="00B96868">
      <w:pPr>
        <w:tabs>
          <w:tab w:val="left" w:pos="709"/>
        </w:tabs>
        <w:jc w:val="both"/>
        <w:rPr>
          <w:rFonts w:ascii="Century Gothic" w:hAnsi="Century Gothic"/>
          <w:color w:val="000000" w:themeColor="text1"/>
          <w:sz w:val="24"/>
          <w:szCs w:val="24"/>
          <w:lang w:val="es-US"/>
        </w:rPr>
      </w:pPr>
      <w:r>
        <w:rPr>
          <w:rFonts w:ascii="Century Gothic" w:hAnsi="Century Gothic"/>
          <w:color w:val="000000" w:themeColor="text1"/>
          <w:sz w:val="24"/>
          <w:szCs w:val="24"/>
          <w:lang w:val="es-US"/>
        </w:rPr>
        <w:tab/>
        <w:t xml:space="preserve">Los avances deben tener </w:t>
      </w:r>
      <w:r w:rsidR="00E0674E">
        <w:rPr>
          <w:rFonts w:ascii="Century Gothic" w:hAnsi="Century Gothic"/>
          <w:color w:val="000000" w:themeColor="text1"/>
          <w:sz w:val="24"/>
          <w:szCs w:val="24"/>
          <w:lang w:val="es-US"/>
        </w:rPr>
        <w:t>una</w:t>
      </w:r>
      <w:r>
        <w:rPr>
          <w:rFonts w:ascii="Century Gothic" w:hAnsi="Century Gothic"/>
          <w:color w:val="000000" w:themeColor="text1"/>
          <w:sz w:val="24"/>
          <w:szCs w:val="24"/>
          <w:lang w:val="es-US"/>
        </w:rPr>
        <w:t xml:space="preserve"> visión de Estado Abierto y no sólo del Poder Ejecutivo, por lo que se sugiere p</w:t>
      </w:r>
      <w:r w:rsidR="00692875" w:rsidRPr="000E696C">
        <w:rPr>
          <w:rFonts w:ascii="Century Gothic" w:hAnsi="Century Gothic"/>
          <w:color w:val="000000" w:themeColor="text1"/>
          <w:sz w:val="24"/>
          <w:szCs w:val="24"/>
          <w:lang w:val="es-US"/>
        </w:rPr>
        <w:t>romocionar la apertura de datos en todas las ramas del Gobierno y en todos los niveles de la estructura gubernamental interna, tanto a nivel federal, estatal y local, como en los órganos, organismos y entidades independientes o autónomas de propiedad del Estado o bajo control del mismo, o cualquier otro que maneje, administre o ejecute recursos públicos, bienes del Estado o actos de la administración pública en general.</w:t>
      </w:r>
    </w:p>
    <w:p w14:paraId="57588819" w14:textId="77777777" w:rsidR="003F3472" w:rsidRPr="000E696C" w:rsidRDefault="003F3472" w:rsidP="003F3472">
      <w:pPr>
        <w:jc w:val="both"/>
        <w:rPr>
          <w:rFonts w:ascii="Century Gothic" w:hAnsi="Century Gothic"/>
          <w:color w:val="000000" w:themeColor="text1"/>
        </w:rPr>
      </w:pPr>
    </w:p>
    <w:sectPr w:rsidR="003F3472" w:rsidRPr="000E696C" w:rsidSect="00D266A2">
      <w:footerReference w:type="even" r:id="rId18"/>
      <w:footerReference w:type="default" r:id="rId19"/>
      <w:pgSz w:w="11909" w:h="16834"/>
      <w:pgMar w:top="1174" w:right="1440" w:bottom="1069"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A8446" w14:textId="77777777" w:rsidR="00365F56" w:rsidRDefault="00365F56" w:rsidP="00081E4C">
      <w:pPr>
        <w:spacing w:line="240" w:lineRule="auto"/>
      </w:pPr>
      <w:r>
        <w:separator/>
      </w:r>
    </w:p>
  </w:endnote>
  <w:endnote w:type="continuationSeparator" w:id="0">
    <w:p w14:paraId="15212D94" w14:textId="77777777" w:rsidR="00365F56" w:rsidRDefault="00365F56" w:rsidP="00081E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omfortaa">
    <w:altName w:val="Calibri"/>
    <w:panose1 w:val="020B0604020202020204"/>
    <w:charset w:val="00"/>
    <w:family w:val="auto"/>
    <w:pitch w:val="default"/>
  </w:font>
  <w:font w:name="Bangla MN">
    <w:panose1 w:val="02000500020000000000"/>
    <w:charset w:val="00"/>
    <w:family w:val="auto"/>
    <w:pitch w:val="variable"/>
    <w:sig w:usb0="80018003" w:usb1="1000C0C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001696834"/>
      <w:docPartObj>
        <w:docPartGallery w:val="Page Numbers (Bottom of Page)"/>
        <w:docPartUnique/>
      </w:docPartObj>
    </w:sdtPr>
    <w:sdtContent>
      <w:p w14:paraId="493E6865" w14:textId="47C64F3A" w:rsidR="002C1E83" w:rsidRDefault="002C1E83" w:rsidP="006241F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3D54ED8" w14:textId="77777777" w:rsidR="002C1E83" w:rsidRDefault="002C1E83" w:rsidP="00D266A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531927321"/>
      <w:docPartObj>
        <w:docPartGallery w:val="Page Numbers (Bottom of Page)"/>
        <w:docPartUnique/>
      </w:docPartObj>
    </w:sdtPr>
    <w:sdtContent>
      <w:p w14:paraId="2221472B" w14:textId="1BB00DD9" w:rsidR="002C1E83" w:rsidRDefault="002C1E83" w:rsidP="006241F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45E2A002" w14:textId="77777777" w:rsidR="002C1E83" w:rsidRDefault="002C1E83" w:rsidP="00D266A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875AF" w14:textId="77777777" w:rsidR="00365F56" w:rsidRDefault="00365F56" w:rsidP="00081E4C">
      <w:pPr>
        <w:spacing w:line="240" w:lineRule="auto"/>
      </w:pPr>
      <w:r>
        <w:separator/>
      </w:r>
    </w:p>
  </w:footnote>
  <w:footnote w:type="continuationSeparator" w:id="0">
    <w:p w14:paraId="21D4AAEF" w14:textId="77777777" w:rsidR="00365F56" w:rsidRDefault="00365F56" w:rsidP="00081E4C">
      <w:pPr>
        <w:spacing w:line="240" w:lineRule="auto"/>
      </w:pPr>
      <w:r>
        <w:continuationSeparator/>
      </w:r>
    </w:p>
  </w:footnote>
  <w:footnote w:id="1">
    <w:p w14:paraId="45EDEC44" w14:textId="65BFAB40" w:rsidR="002C1E83" w:rsidRPr="00165956" w:rsidRDefault="002C1E83" w:rsidP="00165956">
      <w:pPr>
        <w:pStyle w:val="Textonotapie"/>
        <w:jc w:val="both"/>
        <w:rPr>
          <w:lang w:val="es-ES_tradnl"/>
        </w:rPr>
      </w:pPr>
      <w:r>
        <w:rPr>
          <w:rStyle w:val="Refdenotaalpie"/>
        </w:rPr>
        <w:footnoteRef/>
      </w:r>
      <w:r>
        <w:t xml:space="preserve"> </w:t>
      </w:r>
      <w:r>
        <w:rPr>
          <w:lang w:val="es-ES_tradnl"/>
        </w:rPr>
        <w:t xml:space="preserve">VIII Cumbre de las Américas: “Compromiso de Lima”, 2018. </w:t>
      </w:r>
      <w:hyperlink r:id="rId1" w:history="1">
        <w:r w:rsidRPr="007B1E1E">
          <w:rPr>
            <w:rStyle w:val="Hipervnculo"/>
            <w:lang w:val="es-ES_tradnl"/>
          </w:rPr>
          <w:t>http://www.summit-americas.org/LIMA_COMMITMENT/LimaCommitment_es.pdf</w:t>
        </w:r>
      </w:hyperlink>
      <w:r>
        <w:rPr>
          <w:lang w:val="es-ES_tradnl"/>
        </w:rPr>
        <w:t xml:space="preserve"> </w:t>
      </w:r>
    </w:p>
  </w:footnote>
  <w:footnote w:id="2">
    <w:p w14:paraId="2B9B397C" w14:textId="273A2339" w:rsidR="002C1E83" w:rsidRPr="00081E4C" w:rsidRDefault="002C1E83">
      <w:pPr>
        <w:pStyle w:val="Textonotapie"/>
        <w:rPr>
          <w:lang w:val="es-ES_tradnl"/>
        </w:rPr>
      </w:pPr>
      <w:r>
        <w:rPr>
          <w:rStyle w:val="Refdenotaalpie"/>
        </w:rPr>
        <w:footnoteRef/>
      </w:r>
      <w:r>
        <w:t xml:space="preserve"> </w:t>
      </w:r>
      <w:hyperlink r:id="rId2" w:history="1">
        <w:r w:rsidRPr="003958C9">
          <w:rPr>
            <w:rStyle w:val="Hipervnculo"/>
          </w:rPr>
          <w:t>https://www.iidh.ed.cr/derecho-informacion/</w:t>
        </w:r>
      </w:hyperlink>
      <w:r>
        <w:t xml:space="preserve"> </w:t>
      </w:r>
    </w:p>
  </w:footnote>
  <w:footnote w:id="3">
    <w:p w14:paraId="3DCF699F" w14:textId="5F32EFAA" w:rsidR="002C1E83" w:rsidRPr="00081E4C" w:rsidRDefault="002C1E83">
      <w:pPr>
        <w:pStyle w:val="Textonotapie"/>
        <w:rPr>
          <w:lang w:val="es-ES_tradnl"/>
        </w:rPr>
      </w:pPr>
      <w:r>
        <w:rPr>
          <w:rStyle w:val="Refdenotaalpie"/>
        </w:rPr>
        <w:footnoteRef/>
      </w:r>
      <w:r>
        <w:t xml:space="preserve"> </w:t>
      </w:r>
      <w:r>
        <w:rPr>
          <w:lang w:val="es-ES_tradnl"/>
        </w:rPr>
        <w:t>Programa Interamericano de Datos Abiertos para Combatir la Corrupción, 2017.</w:t>
      </w:r>
    </w:p>
  </w:footnote>
  <w:footnote w:id="4">
    <w:p w14:paraId="2D320949" w14:textId="77777777" w:rsidR="002C1E83" w:rsidRPr="007E2DE6" w:rsidRDefault="002C1E83" w:rsidP="007D1A7A">
      <w:pPr>
        <w:pStyle w:val="Textonotapie"/>
        <w:rPr>
          <w:lang w:val="es-ES_tradnl"/>
        </w:rPr>
      </w:pPr>
      <w:r>
        <w:rPr>
          <w:rStyle w:val="Refdenotaalpie"/>
        </w:rPr>
        <w:footnoteRef/>
      </w:r>
      <w:r>
        <w:t xml:space="preserve"> </w:t>
      </w:r>
      <w:r w:rsidRPr="007E2DE6">
        <w:rPr>
          <w:rFonts w:eastAsia="Times New Roman"/>
          <w:color w:val="000000" w:themeColor="text1"/>
          <w:shd w:val="clear" w:color="auto" w:fill="FFFFFF"/>
          <w:lang w:val="es-CR"/>
        </w:rPr>
        <w:t>Carta Iberoamericana de Participación Ciudadana en la Gestión Pública, 2009</w:t>
      </w:r>
      <w:r>
        <w:rPr>
          <w:rFonts w:eastAsia="Times New Roman"/>
          <w:color w:val="000000" w:themeColor="text1"/>
          <w:shd w:val="clear" w:color="auto" w:fill="FFFFFF"/>
          <w:lang w:val="es-CR"/>
        </w:rPr>
        <w:t>.</w:t>
      </w:r>
    </w:p>
  </w:footnote>
  <w:footnote w:id="5">
    <w:p w14:paraId="0B9D39F8" w14:textId="562B8A16" w:rsidR="002C1E83" w:rsidRPr="007D1A7A" w:rsidRDefault="002C1E83">
      <w:pPr>
        <w:pStyle w:val="Textonotapie"/>
        <w:rPr>
          <w:lang w:val="es-ES_tradnl"/>
        </w:rPr>
      </w:pPr>
      <w:r>
        <w:rPr>
          <w:rStyle w:val="Refdenotaalpie"/>
        </w:rPr>
        <w:footnoteRef/>
      </w:r>
      <w:r>
        <w:t xml:space="preserve"> </w:t>
      </w:r>
      <w:hyperlink r:id="rId3" w:history="1">
        <w:r w:rsidRPr="003958C9">
          <w:rPr>
            <w:rStyle w:val="Hipervnculo"/>
          </w:rPr>
          <w:t>https://comunidades.cepal.org/ilpes/es/grupos/discusion/participacion-ciudadana-en-la-gestion-publica</w:t>
        </w:r>
      </w:hyperlink>
      <w:r>
        <w:t xml:space="preserve"> </w:t>
      </w:r>
    </w:p>
  </w:footnote>
  <w:footnote w:id="6">
    <w:p w14:paraId="3B9167D6" w14:textId="21CB8701" w:rsidR="002C1E83" w:rsidRPr="003C279E" w:rsidRDefault="002C1E83">
      <w:pPr>
        <w:pStyle w:val="Textonotapie"/>
        <w:rPr>
          <w:lang w:val="es-ES_tradnl"/>
        </w:rPr>
      </w:pPr>
      <w:r>
        <w:rPr>
          <w:rStyle w:val="Refdenotaalpie"/>
        </w:rPr>
        <w:footnoteRef/>
      </w:r>
      <w:r>
        <w:t xml:space="preserve"> Guía de Implementación del PIDA, 2021. </w:t>
      </w:r>
      <w:hyperlink r:id="rId4" w:history="1">
        <w:r w:rsidRPr="007B1E1E">
          <w:rPr>
            <w:rStyle w:val="Hipervnculo"/>
            <w:lang w:val="es-ES_tradnl"/>
          </w:rPr>
          <w:t>http://portal.oas.org/LinkClick.aspx?fileticket=2CjQkoYdGRI%3D&amp;tabid=1814</w:t>
        </w:r>
      </w:hyperlink>
      <w:r>
        <w:rPr>
          <w:lang w:val="es-ES_tradnl"/>
        </w:rPr>
        <w:t xml:space="preserve"> </w:t>
      </w:r>
    </w:p>
  </w:footnote>
  <w:footnote w:id="7">
    <w:p w14:paraId="4A036EAA" w14:textId="5AFC2228" w:rsidR="002C1E83" w:rsidRPr="00A87C91" w:rsidRDefault="002C1E83">
      <w:pPr>
        <w:pStyle w:val="Textonotapie"/>
        <w:rPr>
          <w:lang w:val="es-ES_tradnl"/>
        </w:rPr>
      </w:pPr>
      <w:r>
        <w:rPr>
          <w:rStyle w:val="Refdenotaalpie"/>
        </w:rPr>
        <w:footnoteRef/>
      </w:r>
      <w:r>
        <w:t xml:space="preserve"> </w:t>
      </w:r>
      <w:hyperlink r:id="rId5" w:history="1">
        <w:r w:rsidRPr="007B1E1E">
          <w:rPr>
            <w:rStyle w:val="Hipervnculo"/>
          </w:rPr>
          <w:t>https://agacolombia.org/documents/iv-plan-accion.pdf</w:t>
        </w:r>
      </w:hyperlink>
      <w:r>
        <w:t xml:space="preserve"> </w:t>
      </w:r>
    </w:p>
  </w:footnote>
  <w:footnote w:id="8">
    <w:p w14:paraId="514C619F" w14:textId="6E865927" w:rsidR="002C1E83" w:rsidRPr="00C9115A" w:rsidRDefault="002C1E83">
      <w:pPr>
        <w:pStyle w:val="Textonotapie"/>
        <w:rPr>
          <w:lang w:val="es-ES_tradnl"/>
        </w:rPr>
      </w:pPr>
      <w:r>
        <w:rPr>
          <w:rStyle w:val="Refdenotaalpie"/>
        </w:rPr>
        <w:footnoteRef/>
      </w:r>
      <w:hyperlink r:id="rId6" w:history="1">
        <w:r w:rsidRPr="007B1E1E">
          <w:rPr>
            <w:rStyle w:val="Hipervnculo"/>
          </w:rPr>
          <w:t>https://herramientas.datos.gov.co/sites/default/files/Hoja%20de%20Ruta%20Datos%20Abiertos%20Estratégicos%202021_0.pdf</w:t>
        </w:r>
      </w:hyperlink>
      <w:r>
        <w:t xml:space="preserve">  </w:t>
      </w:r>
    </w:p>
  </w:footnote>
  <w:footnote w:id="9">
    <w:p w14:paraId="1C14A3F7" w14:textId="353AB73C" w:rsidR="002C1E83" w:rsidRPr="001919EF" w:rsidRDefault="002C1E83">
      <w:pPr>
        <w:pStyle w:val="Textonotapie"/>
        <w:rPr>
          <w:lang w:val="es-ES_tradnl"/>
        </w:rPr>
      </w:pPr>
      <w:r>
        <w:rPr>
          <w:rStyle w:val="Refdenotaalpie"/>
        </w:rPr>
        <w:footnoteRef/>
      </w:r>
      <w:r>
        <w:t xml:space="preserve"> </w:t>
      </w:r>
      <w:hyperlink r:id="rId7" w:history="1">
        <w:r w:rsidRPr="007B1E1E">
          <w:rPr>
            <w:rStyle w:val="Hipervnculo"/>
          </w:rPr>
          <w:t>https://portal.paco.gov.co</w:t>
        </w:r>
      </w:hyperlink>
      <w:r>
        <w:t xml:space="preserve"> </w:t>
      </w:r>
    </w:p>
  </w:footnote>
  <w:footnote w:id="10">
    <w:p w14:paraId="6DF1F2BF" w14:textId="6D43691F" w:rsidR="002C1E83" w:rsidRPr="00BB607F" w:rsidRDefault="002C1E83">
      <w:pPr>
        <w:pStyle w:val="Textonotapie"/>
        <w:rPr>
          <w:lang w:val="es-ES_tradnl"/>
        </w:rPr>
      </w:pPr>
      <w:r>
        <w:rPr>
          <w:rStyle w:val="Refdenotaalpie"/>
        </w:rPr>
        <w:footnoteRef/>
      </w:r>
      <w:r>
        <w:t xml:space="preserve"> </w:t>
      </w:r>
      <w:hyperlink r:id="rId8" w:history="1">
        <w:r w:rsidRPr="007B1E1E">
          <w:rPr>
            <w:rStyle w:val="Hipervnculo"/>
          </w:rPr>
          <w:t>https://www.datalat.org</w:t>
        </w:r>
      </w:hyperlink>
      <w:r>
        <w:t xml:space="preserve"> </w:t>
      </w:r>
    </w:p>
  </w:footnote>
  <w:footnote w:id="11">
    <w:p w14:paraId="0F4206B8" w14:textId="0C414342" w:rsidR="002C1E83" w:rsidRPr="001D2292" w:rsidRDefault="002C1E83">
      <w:pPr>
        <w:pStyle w:val="Textonotapie"/>
        <w:rPr>
          <w:lang w:val="es-ES_tradnl"/>
        </w:rPr>
      </w:pPr>
      <w:r>
        <w:rPr>
          <w:rStyle w:val="Refdenotaalpie"/>
        </w:rPr>
        <w:footnoteRef/>
      </w:r>
      <w:r>
        <w:t xml:space="preserve"> </w:t>
      </w:r>
      <w:hyperlink r:id="rId9" w:history="1">
        <w:r w:rsidRPr="007B1E1E">
          <w:rPr>
            <w:rStyle w:val="Hipervnculo"/>
          </w:rPr>
          <w:t>https://www.ciudadaniaydesarrollo.org</w:t>
        </w:r>
      </w:hyperlink>
      <w:r>
        <w:t xml:space="preserve"> </w:t>
      </w:r>
    </w:p>
  </w:footnote>
  <w:footnote w:id="12">
    <w:p w14:paraId="31FF6307" w14:textId="55033650" w:rsidR="002C1E83" w:rsidRPr="001D2292" w:rsidRDefault="002C1E83">
      <w:pPr>
        <w:pStyle w:val="Textonotapie"/>
        <w:rPr>
          <w:lang w:val="es-ES_tradnl"/>
        </w:rPr>
      </w:pPr>
      <w:r>
        <w:rPr>
          <w:rStyle w:val="Refdenotaalpie"/>
        </w:rPr>
        <w:footnoteRef/>
      </w:r>
      <w:r>
        <w:t xml:space="preserve"> </w:t>
      </w:r>
      <w:hyperlink r:id="rId10" w:history="1">
        <w:r w:rsidRPr="007B1E1E">
          <w:rPr>
            <w:rStyle w:val="Hipervnculo"/>
          </w:rPr>
          <w:t>https://www.datasketch.co</w:t>
        </w:r>
      </w:hyperlink>
      <w:r>
        <w:t xml:space="preserve"> </w:t>
      </w:r>
    </w:p>
  </w:footnote>
  <w:footnote w:id="13">
    <w:p w14:paraId="36502EF4" w14:textId="3131C6FF" w:rsidR="002C1E83" w:rsidRPr="00307162" w:rsidRDefault="002C1E83" w:rsidP="00307162">
      <w:pPr>
        <w:pStyle w:val="Textonotapie"/>
        <w:jc w:val="both"/>
        <w:rPr>
          <w:lang w:val="es-ES_tradnl"/>
        </w:rPr>
      </w:pPr>
      <w:r w:rsidRPr="00307162">
        <w:rPr>
          <w:rStyle w:val="Refdenotaalpie"/>
        </w:rPr>
        <w:footnoteRef/>
      </w:r>
      <w:r w:rsidRPr="00307162">
        <w:t xml:space="preserve"> </w:t>
      </w:r>
      <w:hyperlink r:id="rId11" w:history="1">
        <w:r w:rsidRPr="00307162">
          <w:rPr>
            <w:rStyle w:val="Hipervnculo"/>
          </w:rPr>
          <w:t>https://opendatacharter.net/hoja-de-ruta-para-la-apertura-de-datos-anticorrupcion-en-ecuador/</w:t>
        </w:r>
      </w:hyperlink>
      <w:r w:rsidRPr="00307162">
        <w:t xml:space="preserve"> </w:t>
      </w:r>
    </w:p>
  </w:footnote>
  <w:footnote w:id="14">
    <w:p w14:paraId="6B9595D7" w14:textId="1011689E" w:rsidR="002C1E83" w:rsidRPr="00307162" w:rsidRDefault="002C1E83" w:rsidP="00307162">
      <w:pPr>
        <w:pStyle w:val="NormalWeb"/>
        <w:jc w:val="both"/>
        <w:rPr>
          <w:rFonts w:ascii="Arial" w:hAnsi="Arial" w:cs="Arial"/>
          <w:sz w:val="20"/>
          <w:szCs w:val="20"/>
        </w:rPr>
      </w:pPr>
      <w:r w:rsidRPr="00307162">
        <w:rPr>
          <w:rStyle w:val="Refdenotaalpie"/>
          <w:rFonts w:ascii="Arial" w:hAnsi="Arial" w:cs="Arial"/>
          <w:sz w:val="20"/>
          <w:szCs w:val="20"/>
        </w:rPr>
        <w:footnoteRef/>
      </w:r>
      <w:r w:rsidRPr="00307162">
        <w:rPr>
          <w:rFonts w:ascii="Arial" w:hAnsi="Arial" w:cs="Arial"/>
          <w:sz w:val="20"/>
          <w:szCs w:val="20"/>
        </w:rPr>
        <w:t xml:space="preserve"> Resolución AG/RES. 2931 (XLIX-O/19) Fortalecimiento de la democracia, Asamblea General OEA, </w:t>
      </w:r>
      <w:r w:rsidRPr="00307162">
        <w:rPr>
          <w:rFonts w:ascii="Arial" w:hAnsi="Arial" w:cs="Arial"/>
          <w:sz w:val="20"/>
          <w:szCs w:val="20"/>
          <w:lang w:val="es-ES_tradnl"/>
        </w:rPr>
        <w:t xml:space="preserve">2019. </w:t>
      </w:r>
      <w:hyperlink r:id="rId12" w:history="1">
        <w:r w:rsidRPr="00307162">
          <w:rPr>
            <w:rStyle w:val="Hipervnculo"/>
            <w:rFonts w:ascii="Arial" w:hAnsi="Arial" w:cs="Arial"/>
            <w:sz w:val="20"/>
            <w:szCs w:val="20"/>
            <w:lang w:val="es-ES_tradnl"/>
          </w:rPr>
          <w:t>http://portal.oas.org/LinkClick.aspx?fileticket=Gh7_KuwNoCg=&amp;tabid=1814</w:t>
        </w:r>
      </w:hyperlink>
      <w:r w:rsidRPr="00307162">
        <w:rPr>
          <w:rFonts w:ascii="Arial" w:hAnsi="Arial" w:cs="Arial"/>
          <w:sz w:val="20"/>
          <w:szCs w:val="20"/>
          <w:lang w:val="es-ES_tradnl"/>
        </w:rPr>
        <w:t xml:space="preserve"> </w:t>
      </w:r>
    </w:p>
    <w:p w14:paraId="1631CE83" w14:textId="096C1497" w:rsidR="002C1E83" w:rsidRDefault="002C1E83" w:rsidP="00D26C40">
      <w:pPr>
        <w:jc w:val="both"/>
        <w:rPr>
          <w:rFonts w:ascii="Times New Roman" w:hAnsi="Times New Roman" w:cs="Times New Roman"/>
        </w:rPr>
      </w:pPr>
    </w:p>
    <w:p w14:paraId="7C80E57A" w14:textId="0FCC28D2" w:rsidR="002C1E83" w:rsidRPr="00EC697E" w:rsidRDefault="002C1E83" w:rsidP="00285C12">
      <w:pPr>
        <w:pStyle w:val="Textonotapie"/>
        <w:jc w:val="both"/>
        <w:rPr>
          <w:lang w:val="es-ES_tradnl"/>
        </w:rPr>
      </w:pPr>
    </w:p>
  </w:footnote>
  <w:footnote w:id="15">
    <w:p w14:paraId="2ECA8489" w14:textId="34E99579" w:rsidR="002C1E83" w:rsidRPr="00771920" w:rsidRDefault="002C1E83">
      <w:pPr>
        <w:pStyle w:val="Textonotapie"/>
        <w:rPr>
          <w:lang w:val="es-ES_tradnl"/>
        </w:rPr>
      </w:pPr>
      <w:r>
        <w:rPr>
          <w:rStyle w:val="Refdenotaalpie"/>
        </w:rPr>
        <w:footnoteRef/>
      </w:r>
      <w:r>
        <w:t xml:space="preserve"> </w:t>
      </w:r>
      <w:hyperlink r:id="rId13" w:history="1">
        <w:r w:rsidRPr="007B1E1E">
          <w:rPr>
            <w:rStyle w:val="Hipervnculo"/>
          </w:rPr>
          <w:t>http://portal.oas.org/LinkClick.aspx?fileticket=2CjQkoYdGRI%3D&amp;tabid=1814</w:t>
        </w:r>
      </w:hyperlink>
      <w:r>
        <w:t xml:space="preserve"> </w:t>
      </w:r>
    </w:p>
  </w:footnote>
  <w:footnote w:id="16">
    <w:p w14:paraId="4C61494C" w14:textId="77777777" w:rsidR="002C1E83" w:rsidRPr="00CF252F" w:rsidRDefault="002C1E83" w:rsidP="00CF252F">
      <w:pPr>
        <w:pStyle w:val="Textonotapie"/>
        <w:jc w:val="both"/>
      </w:pPr>
      <w:r w:rsidRPr="00CF252F">
        <w:rPr>
          <w:rStyle w:val="Refdenotaalpie"/>
        </w:rPr>
        <w:footnoteRef/>
      </w:r>
      <w:r w:rsidRPr="00CF252F">
        <w:t xml:space="preserve"> Para conocer el detalle de estos estándares se pueden consultar en el siguiente enlace: </w:t>
      </w:r>
      <w:hyperlink r:id="rId14" w:history="1">
        <w:r w:rsidRPr="00CF252F">
          <w:rPr>
            <w:rStyle w:val="Hipervnculo"/>
          </w:rPr>
          <w:t>https://www.opengovpartnership.org/estandares-de-participacion-y-cocreacion-de-ogp/</w:t>
        </w:r>
      </w:hyperlink>
    </w:p>
  </w:footnote>
  <w:footnote w:id="17">
    <w:p w14:paraId="6F0E3A50" w14:textId="507BF06A" w:rsidR="002C1E83" w:rsidRPr="00CF252F" w:rsidRDefault="002C1E83" w:rsidP="00CF252F">
      <w:pPr>
        <w:pStyle w:val="Textonotapie"/>
        <w:jc w:val="both"/>
        <w:rPr>
          <w:lang w:val="es-ES_tradnl"/>
        </w:rPr>
      </w:pPr>
      <w:r w:rsidRPr="00CF252F">
        <w:rPr>
          <w:rStyle w:val="Refdenotaalpie"/>
        </w:rPr>
        <w:footnoteRef/>
      </w:r>
      <w:hyperlink r:id="rId15" w:history="1">
        <w:r w:rsidRPr="00CF252F">
          <w:rPr>
            <w:rStyle w:val="Hipervnculo"/>
          </w:rPr>
          <w:t>https://observatorioplanificacion.cepal.org/sites/default/files/plan/files/Panamá_4to%20Plan%202021-2023.pdf</w:t>
        </w:r>
      </w:hyperlink>
      <w:r>
        <w:t xml:space="preserve"> </w:t>
      </w:r>
    </w:p>
  </w:footnote>
  <w:footnote w:id="18">
    <w:p w14:paraId="1560B0EB" w14:textId="77777777" w:rsidR="002C1E83" w:rsidRDefault="002C1E83" w:rsidP="008B0434">
      <w:pPr>
        <w:pStyle w:val="Textonotapie"/>
        <w:jc w:val="both"/>
      </w:pPr>
      <w:r>
        <w:rPr>
          <w:rStyle w:val="Refdenotaalpie"/>
        </w:rPr>
        <w:footnoteRef/>
      </w:r>
      <w:r>
        <w:t xml:space="preserve"> El documento completo de la Recomendación se puede acceder en el siguiente enlace: </w:t>
      </w:r>
      <w:hyperlink r:id="rId16" w:history="1">
        <w:r>
          <w:rPr>
            <w:rStyle w:val="Hipervnculo"/>
          </w:rPr>
          <w:t>http://www.oecd.org/gov/recomendacion-del-consejo-sobre-gobierno-abierto-141217.pdf</w:t>
        </w:r>
      </w:hyperlink>
    </w:p>
  </w:footnote>
  <w:footnote w:id="19">
    <w:p w14:paraId="1592B855" w14:textId="77777777" w:rsidR="002C1E83" w:rsidRDefault="002C1E83" w:rsidP="008B0434">
      <w:pPr>
        <w:pStyle w:val="Textonotapie"/>
        <w:jc w:val="both"/>
      </w:pPr>
      <w:r>
        <w:rPr>
          <w:rStyle w:val="Refdenotaalpie"/>
        </w:rPr>
        <w:footnoteRef/>
      </w:r>
      <w:r>
        <w:t xml:space="preserve"> El documento completo con la Carta Internacional de Datos Abiertos, se puede acceder en el siguiente enlace: </w:t>
      </w:r>
      <w:hyperlink r:id="rId17" w:history="1">
        <w:r>
          <w:rPr>
            <w:rStyle w:val="Hipervnculo"/>
          </w:rPr>
          <w:t>https://opendatacharter.net/wp-content/uploads/2015/10/opendatacharter-charter_F.pdf</w:t>
        </w:r>
      </w:hyperlink>
    </w:p>
  </w:footnote>
  <w:footnote w:id="20">
    <w:p w14:paraId="1223C2E3" w14:textId="77777777" w:rsidR="002C1E83" w:rsidRDefault="002C1E83" w:rsidP="008B0434">
      <w:pPr>
        <w:pStyle w:val="Textonotapie"/>
        <w:jc w:val="both"/>
      </w:pPr>
      <w:r>
        <w:rPr>
          <w:rStyle w:val="Refdenotaalpie"/>
        </w:rPr>
        <w:footnoteRef/>
      </w:r>
      <w:r>
        <w:t xml:space="preserve"> El objetivo general de la RedGEALC es el apoyo a políticas de gobierno electrónico centradas en la ciudadanía y poblaciones vulnerables.</w:t>
      </w:r>
    </w:p>
  </w:footnote>
  <w:footnote w:id="21">
    <w:p w14:paraId="65886F73" w14:textId="60B0BBA0" w:rsidR="002C1E83" w:rsidRPr="00DC68EE" w:rsidRDefault="002C1E83">
      <w:pPr>
        <w:pStyle w:val="Textonotapie"/>
        <w:rPr>
          <w:lang w:val="es-ES_tradnl"/>
        </w:rPr>
      </w:pPr>
      <w:r>
        <w:rPr>
          <w:rStyle w:val="Refdenotaalpie"/>
        </w:rPr>
        <w:footnoteRef/>
      </w:r>
      <w:r>
        <w:t xml:space="preserve"> </w:t>
      </w:r>
      <w:hyperlink r:id="rId18" w:history="1">
        <w:r w:rsidRPr="003958C9">
          <w:rPr>
            <w:rStyle w:val="Hipervnculo"/>
          </w:rPr>
          <w:t>https://www.open-contracting.org/es/about/</w:t>
        </w:r>
      </w:hyperlink>
      <w:r>
        <w:t xml:space="preserve"> </w:t>
      </w:r>
    </w:p>
  </w:footnote>
  <w:footnote w:id="22">
    <w:p w14:paraId="6EA5BCAC" w14:textId="77777777" w:rsidR="002C1E83" w:rsidRPr="00694B03" w:rsidRDefault="002C1E83" w:rsidP="00694B03">
      <w:pPr>
        <w:pStyle w:val="Textonotapie"/>
        <w:rPr>
          <w:lang w:val="es-ES_tradnl"/>
        </w:rPr>
      </w:pPr>
      <w:r>
        <w:rPr>
          <w:rStyle w:val="Refdenotaalpie"/>
        </w:rPr>
        <w:footnoteRef/>
      </w:r>
      <w:r>
        <w:t xml:space="preserve"> </w:t>
      </w:r>
      <w:hyperlink r:id="rId19" w:history="1">
        <w:r w:rsidRPr="003958C9">
          <w:rPr>
            <w:rStyle w:val="Hipervnculo"/>
          </w:rPr>
          <w:t>https://idatosabiertos.org/about-ilda/</w:t>
        </w:r>
      </w:hyperlink>
      <w:r>
        <w:t xml:space="preserve"> </w:t>
      </w:r>
    </w:p>
  </w:footnote>
  <w:footnote w:id="23">
    <w:p w14:paraId="32AF7937" w14:textId="3F5CB8F5" w:rsidR="002C1E83" w:rsidRPr="00694B03" w:rsidRDefault="002C1E83">
      <w:pPr>
        <w:pStyle w:val="Textonotapie"/>
        <w:rPr>
          <w:lang w:val="es-ES_tradnl"/>
        </w:rPr>
      </w:pPr>
      <w:r>
        <w:rPr>
          <w:rStyle w:val="Refdenotaalpie"/>
        </w:rPr>
        <w:footnoteRef/>
      </w:r>
      <w:r>
        <w:t xml:space="preserve"> </w:t>
      </w:r>
      <w:hyperlink r:id="rId20" w:history="1">
        <w:r w:rsidRPr="003958C9">
          <w:rPr>
            <w:rStyle w:val="Hipervnculo"/>
          </w:rPr>
          <w:t>https://www.trustfortheamericas.org/about-us</w:t>
        </w:r>
      </w:hyperlink>
      <w:r>
        <w:t xml:space="preserve"> </w:t>
      </w:r>
    </w:p>
  </w:footnote>
  <w:footnote w:id="24">
    <w:p w14:paraId="6614A3E7" w14:textId="24479A6E" w:rsidR="002C1E83" w:rsidRPr="001D19D6" w:rsidRDefault="002C1E83">
      <w:pPr>
        <w:pStyle w:val="Textonotapie"/>
        <w:rPr>
          <w:lang w:val="es-ES_tradnl"/>
        </w:rPr>
      </w:pPr>
      <w:r>
        <w:rPr>
          <w:rStyle w:val="Refdenotaalpie"/>
        </w:rPr>
        <w:footnoteRef/>
      </w:r>
      <w:r>
        <w:t xml:space="preserve"> </w:t>
      </w:r>
      <w:hyperlink r:id="rId21" w:history="1">
        <w:r w:rsidRPr="003958C9">
          <w:rPr>
            <w:rStyle w:val="Hipervnculo"/>
          </w:rPr>
          <w:t>https://standard.open-contracting.org/latest/en/</w:t>
        </w:r>
      </w:hyperlink>
      <w:r>
        <w:t xml:space="preserve"> </w:t>
      </w:r>
    </w:p>
  </w:footnote>
  <w:footnote w:id="25">
    <w:p w14:paraId="4AEBB76A" w14:textId="67FD1355" w:rsidR="002C1E83" w:rsidRPr="00332D0B" w:rsidRDefault="002C1E83">
      <w:pPr>
        <w:pStyle w:val="Textonotapie"/>
        <w:rPr>
          <w:lang w:val="es-ES_tradnl"/>
        </w:rPr>
      </w:pPr>
      <w:r>
        <w:rPr>
          <w:rStyle w:val="Refdenotaalpie"/>
        </w:rPr>
        <w:footnoteRef/>
      </w:r>
      <w:r>
        <w:t xml:space="preserve"> * Actores estatales no gubernamentales de relevancia para el PIDA.</w:t>
      </w:r>
    </w:p>
  </w:footnote>
  <w:footnote w:id="26">
    <w:p w14:paraId="400B49D0" w14:textId="530F9625" w:rsidR="002C1E83" w:rsidRPr="00332D0B" w:rsidRDefault="002C1E83">
      <w:pPr>
        <w:pStyle w:val="Textonotapie"/>
        <w:rPr>
          <w:lang w:val="es-ES_tradnl"/>
        </w:rPr>
      </w:pPr>
      <w:r>
        <w:rPr>
          <w:rStyle w:val="Refdenotaalpie"/>
        </w:rPr>
        <w:footnoteRef/>
      </w:r>
      <w:r>
        <w:t xml:space="preserve"> **Actores gubernamentales de relevancia para el PIDA.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1151F"/>
    <w:multiLevelType w:val="hybridMultilevel"/>
    <w:tmpl w:val="01E86E22"/>
    <w:lvl w:ilvl="0" w:tplc="6952E886">
      <w:start w:val="1"/>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E5F0B9B"/>
    <w:multiLevelType w:val="hybridMultilevel"/>
    <w:tmpl w:val="C79EA59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2A277F9"/>
    <w:multiLevelType w:val="multilevel"/>
    <w:tmpl w:val="C1DC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B81786"/>
    <w:multiLevelType w:val="multilevel"/>
    <w:tmpl w:val="2E641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5E5FF3"/>
    <w:multiLevelType w:val="multilevel"/>
    <w:tmpl w:val="7560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2F636D"/>
    <w:multiLevelType w:val="hybridMultilevel"/>
    <w:tmpl w:val="58029A0A"/>
    <w:lvl w:ilvl="0" w:tplc="2CB20790">
      <w:start w:val="1"/>
      <w:numFmt w:val="lowerLetter"/>
      <w:lvlText w:val="%1)"/>
      <w:lvlJc w:val="left"/>
      <w:pPr>
        <w:ind w:left="1080" w:hanging="36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15:restartNumberingAfterBreak="0">
    <w:nsid w:val="2794032D"/>
    <w:multiLevelType w:val="hybridMultilevel"/>
    <w:tmpl w:val="CA6884F8"/>
    <w:lvl w:ilvl="0" w:tplc="497EC882">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2BF17768"/>
    <w:multiLevelType w:val="hybridMultilevel"/>
    <w:tmpl w:val="C9020D52"/>
    <w:lvl w:ilvl="0" w:tplc="99D86FC8">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32884881"/>
    <w:multiLevelType w:val="hybridMultilevel"/>
    <w:tmpl w:val="5A60840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4420F1B"/>
    <w:multiLevelType w:val="multilevel"/>
    <w:tmpl w:val="8702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6B1CCE"/>
    <w:multiLevelType w:val="hybridMultilevel"/>
    <w:tmpl w:val="0236362E"/>
    <w:lvl w:ilvl="0" w:tplc="9C920AD6">
      <w:start w:val="1"/>
      <w:numFmt w:val="lowerLetter"/>
      <w:lvlText w:val="%1)"/>
      <w:lvlJc w:val="left"/>
      <w:pPr>
        <w:ind w:left="720" w:hanging="360"/>
      </w:pPr>
      <w:rPr>
        <w:rFonts w:eastAsia="Arial" w:cs="Arial"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6E76EFF"/>
    <w:multiLevelType w:val="hybridMultilevel"/>
    <w:tmpl w:val="F7AC4A60"/>
    <w:lvl w:ilvl="0" w:tplc="C8C26BC6">
      <w:start w:val="1"/>
      <w:numFmt w:val="lowerLetter"/>
      <w:lvlText w:val="%1)"/>
      <w:lvlJc w:val="left"/>
      <w:pPr>
        <w:ind w:left="1080" w:hanging="36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15:restartNumberingAfterBreak="0">
    <w:nsid w:val="39B75400"/>
    <w:multiLevelType w:val="hybridMultilevel"/>
    <w:tmpl w:val="9C1EA1AC"/>
    <w:lvl w:ilvl="0" w:tplc="6952E886">
      <w:start w:val="1"/>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A9D6BCA"/>
    <w:multiLevelType w:val="hybridMultilevel"/>
    <w:tmpl w:val="C9CE987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D7E5E8E"/>
    <w:multiLevelType w:val="hybridMultilevel"/>
    <w:tmpl w:val="02EC8D28"/>
    <w:lvl w:ilvl="0" w:tplc="D26E548A">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41F04D67"/>
    <w:multiLevelType w:val="multilevel"/>
    <w:tmpl w:val="754E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B0089E"/>
    <w:multiLevelType w:val="hybridMultilevel"/>
    <w:tmpl w:val="4DE81AB4"/>
    <w:lvl w:ilvl="0" w:tplc="7868B3EE">
      <w:start w:val="2"/>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7" w15:restartNumberingAfterBreak="0">
    <w:nsid w:val="4A0A2E89"/>
    <w:multiLevelType w:val="hybridMultilevel"/>
    <w:tmpl w:val="950C81C4"/>
    <w:lvl w:ilvl="0" w:tplc="9FFC19AE">
      <w:numFmt w:val="bullet"/>
      <w:lvlText w:val="-"/>
      <w:lvlJc w:val="left"/>
      <w:pPr>
        <w:ind w:left="720" w:hanging="360"/>
      </w:pPr>
      <w:rPr>
        <w:rFonts w:ascii="Candara" w:eastAsia="Comfortaa" w:hAnsi="Candara" w:cs="Bangla M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A352AD8"/>
    <w:multiLevelType w:val="hybridMultilevel"/>
    <w:tmpl w:val="D8BA1394"/>
    <w:lvl w:ilvl="0" w:tplc="040A000F">
      <w:start w:val="7"/>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521538E6"/>
    <w:multiLevelType w:val="multilevel"/>
    <w:tmpl w:val="28DE2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E10AC2"/>
    <w:multiLevelType w:val="hybridMultilevel"/>
    <w:tmpl w:val="24A0908E"/>
    <w:lvl w:ilvl="0" w:tplc="FE76B422">
      <w:start w:val="4"/>
      <w:numFmt w:val="bullet"/>
      <w:lvlText w:val="-"/>
      <w:lvlJc w:val="left"/>
      <w:pPr>
        <w:ind w:left="1080" w:hanging="360"/>
      </w:pPr>
      <w:rPr>
        <w:rFonts w:ascii="Century Gothic" w:eastAsia="Times New Roman" w:hAnsi="Century Gothic" w:cs="Open San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15:restartNumberingAfterBreak="0">
    <w:nsid w:val="5A343FE3"/>
    <w:multiLevelType w:val="hybridMultilevel"/>
    <w:tmpl w:val="BBFC40A0"/>
    <w:lvl w:ilvl="0" w:tplc="A54E5120">
      <w:start w:val="1"/>
      <w:numFmt w:val="lowerLetter"/>
      <w:lvlText w:val="%1)"/>
      <w:lvlJc w:val="left"/>
      <w:pPr>
        <w:ind w:left="1080" w:hanging="36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2" w15:restartNumberingAfterBreak="0">
    <w:nsid w:val="5BE23F89"/>
    <w:multiLevelType w:val="hybridMultilevel"/>
    <w:tmpl w:val="105CEE68"/>
    <w:lvl w:ilvl="0" w:tplc="77EC034E">
      <w:start w:val="1"/>
      <w:numFmt w:val="upperLetter"/>
      <w:lvlText w:val="%1)"/>
      <w:lvlJc w:val="left"/>
      <w:pPr>
        <w:ind w:left="720" w:hanging="360"/>
      </w:pPr>
      <w:rPr>
        <w:rFonts w:ascii="Century Gothic" w:hAnsi="Century Gothic" w:cs="Open San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5C6A1D62"/>
    <w:multiLevelType w:val="hybridMultilevel"/>
    <w:tmpl w:val="1E0C3C8A"/>
    <w:lvl w:ilvl="0" w:tplc="C366A468">
      <w:start w:val="1"/>
      <w:numFmt w:val="lowerLetter"/>
      <w:lvlText w:val="%1)"/>
      <w:lvlJc w:val="left"/>
      <w:pPr>
        <w:ind w:left="720" w:hanging="360"/>
      </w:pPr>
      <w:rPr>
        <w:rFonts w:ascii="Arial" w:eastAsiaTheme="minorHAnsi" w:hAnsi="Arial" w:cs="Arial"/>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CF31A2F"/>
    <w:multiLevelType w:val="hybridMultilevel"/>
    <w:tmpl w:val="BF9C4378"/>
    <w:lvl w:ilvl="0" w:tplc="581C95EA">
      <w:start w:val="1"/>
      <w:numFmt w:val="decimal"/>
      <w:lvlText w:val="%1."/>
      <w:lvlJc w:val="left"/>
      <w:pPr>
        <w:ind w:left="1413" w:hanging="360"/>
      </w:pPr>
      <w:rPr>
        <w:rFonts w:hint="default"/>
      </w:rPr>
    </w:lvl>
    <w:lvl w:ilvl="1" w:tplc="140A0019" w:tentative="1">
      <w:start w:val="1"/>
      <w:numFmt w:val="lowerLetter"/>
      <w:lvlText w:val="%2."/>
      <w:lvlJc w:val="left"/>
      <w:pPr>
        <w:ind w:left="2133" w:hanging="360"/>
      </w:pPr>
    </w:lvl>
    <w:lvl w:ilvl="2" w:tplc="140A001B" w:tentative="1">
      <w:start w:val="1"/>
      <w:numFmt w:val="lowerRoman"/>
      <w:lvlText w:val="%3."/>
      <w:lvlJc w:val="right"/>
      <w:pPr>
        <w:ind w:left="2853" w:hanging="180"/>
      </w:pPr>
    </w:lvl>
    <w:lvl w:ilvl="3" w:tplc="140A000F" w:tentative="1">
      <w:start w:val="1"/>
      <w:numFmt w:val="decimal"/>
      <w:lvlText w:val="%4."/>
      <w:lvlJc w:val="left"/>
      <w:pPr>
        <w:ind w:left="3573" w:hanging="360"/>
      </w:pPr>
    </w:lvl>
    <w:lvl w:ilvl="4" w:tplc="140A0019" w:tentative="1">
      <w:start w:val="1"/>
      <w:numFmt w:val="lowerLetter"/>
      <w:lvlText w:val="%5."/>
      <w:lvlJc w:val="left"/>
      <w:pPr>
        <w:ind w:left="4293" w:hanging="360"/>
      </w:pPr>
    </w:lvl>
    <w:lvl w:ilvl="5" w:tplc="140A001B" w:tentative="1">
      <w:start w:val="1"/>
      <w:numFmt w:val="lowerRoman"/>
      <w:lvlText w:val="%6."/>
      <w:lvlJc w:val="right"/>
      <w:pPr>
        <w:ind w:left="5013" w:hanging="180"/>
      </w:pPr>
    </w:lvl>
    <w:lvl w:ilvl="6" w:tplc="140A000F" w:tentative="1">
      <w:start w:val="1"/>
      <w:numFmt w:val="decimal"/>
      <w:lvlText w:val="%7."/>
      <w:lvlJc w:val="left"/>
      <w:pPr>
        <w:ind w:left="5733" w:hanging="360"/>
      </w:pPr>
    </w:lvl>
    <w:lvl w:ilvl="7" w:tplc="140A0019" w:tentative="1">
      <w:start w:val="1"/>
      <w:numFmt w:val="lowerLetter"/>
      <w:lvlText w:val="%8."/>
      <w:lvlJc w:val="left"/>
      <w:pPr>
        <w:ind w:left="6453" w:hanging="360"/>
      </w:pPr>
    </w:lvl>
    <w:lvl w:ilvl="8" w:tplc="140A001B" w:tentative="1">
      <w:start w:val="1"/>
      <w:numFmt w:val="lowerRoman"/>
      <w:lvlText w:val="%9."/>
      <w:lvlJc w:val="right"/>
      <w:pPr>
        <w:ind w:left="7173" w:hanging="180"/>
      </w:pPr>
    </w:lvl>
  </w:abstractNum>
  <w:abstractNum w:abstractNumId="25" w15:restartNumberingAfterBreak="0">
    <w:nsid w:val="5E91261C"/>
    <w:multiLevelType w:val="multilevel"/>
    <w:tmpl w:val="8068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9014BA"/>
    <w:multiLevelType w:val="hybridMultilevel"/>
    <w:tmpl w:val="5C80249C"/>
    <w:lvl w:ilvl="0" w:tplc="C5E220E6">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7" w15:restartNumberingAfterBreak="0">
    <w:nsid w:val="67B02927"/>
    <w:multiLevelType w:val="hybridMultilevel"/>
    <w:tmpl w:val="CEAAFA44"/>
    <w:lvl w:ilvl="0" w:tplc="E770383C">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8" w15:restartNumberingAfterBreak="0">
    <w:nsid w:val="6950623D"/>
    <w:multiLevelType w:val="hybridMultilevel"/>
    <w:tmpl w:val="2ECE0678"/>
    <w:lvl w:ilvl="0" w:tplc="6E2AB0E0">
      <w:start w:val="1"/>
      <w:numFmt w:val="lowerLetter"/>
      <w:lvlText w:val="%1)"/>
      <w:lvlJc w:val="left"/>
      <w:pPr>
        <w:ind w:left="1080" w:hanging="360"/>
      </w:pPr>
      <w:rPr>
        <w:rFonts w:cs="Open San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9" w15:restartNumberingAfterBreak="0">
    <w:nsid w:val="6ADE0B71"/>
    <w:multiLevelType w:val="hybridMultilevel"/>
    <w:tmpl w:val="2D3EFF14"/>
    <w:lvl w:ilvl="0" w:tplc="264209C4">
      <w:start w:val="1"/>
      <w:numFmt w:val="lowerLetter"/>
      <w:lvlText w:val="%1)"/>
      <w:lvlJc w:val="left"/>
      <w:pPr>
        <w:ind w:left="1080" w:hanging="360"/>
      </w:pPr>
      <w:rPr>
        <w:rFonts w:hint="default"/>
        <w:b/>
        <w:bCs/>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0" w15:restartNumberingAfterBreak="0">
    <w:nsid w:val="7C256B62"/>
    <w:multiLevelType w:val="multilevel"/>
    <w:tmpl w:val="B1DE1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4A73CF"/>
    <w:multiLevelType w:val="hybridMultilevel"/>
    <w:tmpl w:val="583E9E8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30"/>
  </w:num>
  <w:num w:numId="3">
    <w:abstractNumId w:val="19"/>
  </w:num>
  <w:num w:numId="4">
    <w:abstractNumId w:val="17"/>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1"/>
  </w:num>
  <w:num w:numId="8">
    <w:abstractNumId w:val="23"/>
  </w:num>
  <w:num w:numId="9">
    <w:abstractNumId w:val="10"/>
  </w:num>
  <w:num w:numId="10">
    <w:abstractNumId w:val="18"/>
  </w:num>
  <w:num w:numId="11">
    <w:abstractNumId w:val="29"/>
  </w:num>
  <w:num w:numId="12">
    <w:abstractNumId w:val="13"/>
  </w:num>
  <w:num w:numId="13">
    <w:abstractNumId w:val="21"/>
  </w:num>
  <w:num w:numId="14">
    <w:abstractNumId w:val="7"/>
  </w:num>
  <w:num w:numId="15">
    <w:abstractNumId w:val="11"/>
  </w:num>
  <w:num w:numId="16">
    <w:abstractNumId w:val="25"/>
  </w:num>
  <w:num w:numId="17">
    <w:abstractNumId w:val="9"/>
  </w:num>
  <w:num w:numId="18">
    <w:abstractNumId w:val="4"/>
  </w:num>
  <w:num w:numId="19">
    <w:abstractNumId w:val="15"/>
  </w:num>
  <w:num w:numId="20">
    <w:abstractNumId w:val="2"/>
  </w:num>
  <w:num w:numId="21">
    <w:abstractNumId w:val="0"/>
  </w:num>
  <w:num w:numId="22">
    <w:abstractNumId w:val="24"/>
  </w:num>
  <w:num w:numId="23">
    <w:abstractNumId w:val="12"/>
  </w:num>
  <w:num w:numId="24">
    <w:abstractNumId w:val="5"/>
  </w:num>
  <w:num w:numId="25">
    <w:abstractNumId w:val="27"/>
  </w:num>
  <w:num w:numId="26">
    <w:abstractNumId w:val="22"/>
  </w:num>
  <w:num w:numId="27">
    <w:abstractNumId w:val="16"/>
  </w:num>
  <w:num w:numId="28">
    <w:abstractNumId w:val="28"/>
  </w:num>
  <w:num w:numId="29">
    <w:abstractNumId w:val="20"/>
  </w:num>
  <w:num w:numId="30">
    <w:abstractNumId w:val="8"/>
  </w:num>
  <w:num w:numId="31">
    <w:abstractNumId w:val="2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9A0"/>
    <w:rsid w:val="00011513"/>
    <w:rsid w:val="00020E45"/>
    <w:rsid w:val="00023148"/>
    <w:rsid w:val="000253ED"/>
    <w:rsid w:val="00030928"/>
    <w:rsid w:val="00052BC7"/>
    <w:rsid w:val="00057E42"/>
    <w:rsid w:val="00060885"/>
    <w:rsid w:val="00081065"/>
    <w:rsid w:val="00081E4C"/>
    <w:rsid w:val="000A097B"/>
    <w:rsid w:val="000B7AFE"/>
    <w:rsid w:val="000D357A"/>
    <w:rsid w:val="000D3A32"/>
    <w:rsid w:val="000D72F6"/>
    <w:rsid w:val="000E378C"/>
    <w:rsid w:val="000E5066"/>
    <w:rsid w:val="000E696C"/>
    <w:rsid w:val="000F1660"/>
    <w:rsid w:val="000F3626"/>
    <w:rsid w:val="00101360"/>
    <w:rsid w:val="0012191B"/>
    <w:rsid w:val="00122AC9"/>
    <w:rsid w:val="001237C2"/>
    <w:rsid w:val="00126CEC"/>
    <w:rsid w:val="0012774F"/>
    <w:rsid w:val="00130539"/>
    <w:rsid w:val="00160499"/>
    <w:rsid w:val="00164F5D"/>
    <w:rsid w:val="00165956"/>
    <w:rsid w:val="00166F20"/>
    <w:rsid w:val="0018632F"/>
    <w:rsid w:val="00190139"/>
    <w:rsid w:val="00190C8C"/>
    <w:rsid w:val="00190FEF"/>
    <w:rsid w:val="001919EF"/>
    <w:rsid w:val="001C3750"/>
    <w:rsid w:val="001C6300"/>
    <w:rsid w:val="001D19D6"/>
    <w:rsid w:val="001D2292"/>
    <w:rsid w:val="001E7A93"/>
    <w:rsid w:val="001F1F7A"/>
    <w:rsid w:val="001F7499"/>
    <w:rsid w:val="00201AD7"/>
    <w:rsid w:val="00203307"/>
    <w:rsid w:val="00205628"/>
    <w:rsid w:val="0021796C"/>
    <w:rsid w:val="00232094"/>
    <w:rsid w:val="002438FD"/>
    <w:rsid w:val="0024438D"/>
    <w:rsid w:val="00254218"/>
    <w:rsid w:val="00272679"/>
    <w:rsid w:val="00285C12"/>
    <w:rsid w:val="00287855"/>
    <w:rsid w:val="002B6BB5"/>
    <w:rsid w:val="002B7F76"/>
    <w:rsid w:val="002C1E83"/>
    <w:rsid w:val="002C3EAC"/>
    <w:rsid w:val="002D56EE"/>
    <w:rsid w:val="00300EF1"/>
    <w:rsid w:val="00307162"/>
    <w:rsid w:val="00307F7A"/>
    <w:rsid w:val="003100D5"/>
    <w:rsid w:val="00315187"/>
    <w:rsid w:val="00322206"/>
    <w:rsid w:val="00332D0B"/>
    <w:rsid w:val="00344EFB"/>
    <w:rsid w:val="00365F56"/>
    <w:rsid w:val="003705BF"/>
    <w:rsid w:val="003742DE"/>
    <w:rsid w:val="00380A8C"/>
    <w:rsid w:val="003866E9"/>
    <w:rsid w:val="00392AF5"/>
    <w:rsid w:val="003937F0"/>
    <w:rsid w:val="003B2286"/>
    <w:rsid w:val="003B39CB"/>
    <w:rsid w:val="003B7035"/>
    <w:rsid w:val="003C148F"/>
    <w:rsid w:val="003C279E"/>
    <w:rsid w:val="003C4E01"/>
    <w:rsid w:val="003D2409"/>
    <w:rsid w:val="003E6FB1"/>
    <w:rsid w:val="003F3472"/>
    <w:rsid w:val="003F35C4"/>
    <w:rsid w:val="003F7B03"/>
    <w:rsid w:val="003F7E2F"/>
    <w:rsid w:val="00416B91"/>
    <w:rsid w:val="00430E8C"/>
    <w:rsid w:val="004334C6"/>
    <w:rsid w:val="00453560"/>
    <w:rsid w:val="00476A36"/>
    <w:rsid w:val="00485DE1"/>
    <w:rsid w:val="004B029D"/>
    <w:rsid w:val="004D5832"/>
    <w:rsid w:val="004E0C01"/>
    <w:rsid w:val="004E2E98"/>
    <w:rsid w:val="004E567B"/>
    <w:rsid w:val="005270BC"/>
    <w:rsid w:val="005510C5"/>
    <w:rsid w:val="005549F3"/>
    <w:rsid w:val="00570889"/>
    <w:rsid w:val="00571AC2"/>
    <w:rsid w:val="005B7B6F"/>
    <w:rsid w:val="005C6701"/>
    <w:rsid w:val="006009A0"/>
    <w:rsid w:val="0061565B"/>
    <w:rsid w:val="006241F2"/>
    <w:rsid w:val="006245A9"/>
    <w:rsid w:val="00634C9D"/>
    <w:rsid w:val="006460F2"/>
    <w:rsid w:val="0066752A"/>
    <w:rsid w:val="0067420F"/>
    <w:rsid w:val="00692875"/>
    <w:rsid w:val="00694B03"/>
    <w:rsid w:val="006B20C7"/>
    <w:rsid w:val="006F2D5C"/>
    <w:rsid w:val="006F345A"/>
    <w:rsid w:val="006F73B1"/>
    <w:rsid w:val="007017B7"/>
    <w:rsid w:val="00720460"/>
    <w:rsid w:val="00761B2D"/>
    <w:rsid w:val="00765E83"/>
    <w:rsid w:val="007712E0"/>
    <w:rsid w:val="00771920"/>
    <w:rsid w:val="00776D8E"/>
    <w:rsid w:val="007A42B3"/>
    <w:rsid w:val="007A5F89"/>
    <w:rsid w:val="007B6BDB"/>
    <w:rsid w:val="007D1A7A"/>
    <w:rsid w:val="007E0E37"/>
    <w:rsid w:val="007E14D1"/>
    <w:rsid w:val="007E2DE6"/>
    <w:rsid w:val="007E62B7"/>
    <w:rsid w:val="007E68D0"/>
    <w:rsid w:val="007F1457"/>
    <w:rsid w:val="007F37E5"/>
    <w:rsid w:val="00802514"/>
    <w:rsid w:val="00815D5C"/>
    <w:rsid w:val="00837E65"/>
    <w:rsid w:val="0088572D"/>
    <w:rsid w:val="00886947"/>
    <w:rsid w:val="00890312"/>
    <w:rsid w:val="0089305C"/>
    <w:rsid w:val="008A4E2D"/>
    <w:rsid w:val="008B0434"/>
    <w:rsid w:val="008B1F06"/>
    <w:rsid w:val="008B3C2F"/>
    <w:rsid w:val="008E30A6"/>
    <w:rsid w:val="00913D7B"/>
    <w:rsid w:val="009373B1"/>
    <w:rsid w:val="009468AA"/>
    <w:rsid w:val="00946D77"/>
    <w:rsid w:val="00986DFA"/>
    <w:rsid w:val="009953F8"/>
    <w:rsid w:val="009B7721"/>
    <w:rsid w:val="009C315D"/>
    <w:rsid w:val="009D7398"/>
    <w:rsid w:val="009D77E7"/>
    <w:rsid w:val="009E1D1A"/>
    <w:rsid w:val="009F4C86"/>
    <w:rsid w:val="00A07370"/>
    <w:rsid w:val="00A26CEB"/>
    <w:rsid w:val="00A41D3C"/>
    <w:rsid w:val="00A4714E"/>
    <w:rsid w:val="00A51FFC"/>
    <w:rsid w:val="00A5553F"/>
    <w:rsid w:val="00A60D27"/>
    <w:rsid w:val="00A6292D"/>
    <w:rsid w:val="00A656A7"/>
    <w:rsid w:val="00A87C91"/>
    <w:rsid w:val="00A9349E"/>
    <w:rsid w:val="00AA061F"/>
    <w:rsid w:val="00AB2292"/>
    <w:rsid w:val="00AB7E5B"/>
    <w:rsid w:val="00AC3E3F"/>
    <w:rsid w:val="00AC5C1C"/>
    <w:rsid w:val="00AE36EF"/>
    <w:rsid w:val="00AE3B82"/>
    <w:rsid w:val="00AE607C"/>
    <w:rsid w:val="00AF76F0"/>
    <w:rsid w:val="00B05AA2"/>
    <w:rsid w:val="00B12142"/>
    <w:rsid w:val="00B174AC"/>
    <w:rsid w:val="00B261BB"/>
    <w:rsid w:val="00B26FFE"/>
    <w:rsid w:val="00B27932"/>
    <w:rsid w:val="00B40D71"/>
    <w:rsid w:val="00B47F02"/>
    <w:rsid w:val="00B65EF3"/>
    <w:rsid w:val="00B740D3"/>
    <w:rsid w:val="00B95D64"/>
    <w:rsid w:val="00B96868"/>
    <w:rsid w:val="00B96A6B"/>
    <w:rsid w:val="00B9718F"/>
    <w:rsid w:val="00BA0942"/>
    <w:rsid w:val="00BA5736"/>
    <w:rsid w:val="00BB1B83"/>
    <w:rsid w:val="00BB607F"/>
    <w:rsid w:val="00BB7CB5"/>
    <w:rsid w:val="00BC1585"/>
    <w:rsid w:val="00BC1608"/>
    <w:rsid w:val="00BD37D5"/>
    <w:rsid w:val="00BE7FF2"/>
    <w:rsid w:val="00BF35A6"/>
    <w:rsid w:val="00C01164"/>
    <w:rsid w:val="00C06230"/>
    <w:rsid w:val="00C16012"/>
    <w:rsid w:val="00C27FC6"/>
    <w:rsid w:val="00C35976"/>
    <w:rsid w:val="00C8071E"/>
    <w:rsid w:val="00C84079"/>
    <w:rsid w:val="00C85498"/>
    <w:rsid w:val="00C90C71"/>
    <w:rsid w:val="00C9115A"/>
    <w:rsid w:val="00CB2857"/>
    <w:rsid w:val="00CC0404"/>
    <w:rsid w:val="00CC5D47"/>
    <w:rsid w:val="00CD265A"/>
    <w:rsid w:val="00CF252F"/>
    <w:rsid w:val="00CF6BFB"/>
    <w:rsid w:val="00CF6D16"/>
    <w:rsid w:val="00D0466E"/>
    <w:rsid w:val="00D266A2"/>
    <w:rsid w:val="00D26C40"/>
    <w:rsid w:val="00D33DDA"/>
    <w:rsid w:val="00D37444"/>
    <w:rsid w:val="00D42994"/>
    <w:rsid w:val="00D55217"/>
    <w:rsid w:val="00D60A20"/>
    <w:rsid w:val="00D921C1"/>
    <w:rsid w:val="00D95CDD"/>
    <w:rsid w:val="00DA12C5"/>
    <w:rsid w:val="00DA1801"/>
    <w:rsid w:val="00DA5E82"/>
    <w:rsid w:val="00DB0BBE"/>
    <w:rsid w:val="00DC51F1"/>
    <w:rsid w:val="00DC59ED"/>
    <w:rsid w:val="00DC68EE"/>
    <w:rsid w:val="00DD3066"/>
    <w:rsid w:val="00E0674E"/>
    <w:rsid w:val="00E06FBF"/>
    <w:rsid w:val="00E124CB"/>
    <w:rsid w:val="00E131A9"/>
    <w:rsid w:val="00E35228"/>
    <w:rsid w:val="00E43E3B"/>
    <w:rsid w:val="00E61C3F"/>
    <w:rsid w:val="00E625B9"/>
    <w:rsid w:val="00E76A16"/>
    <w:rsid w:val="00E86531"/>
    <w:rsid w:val="00E9698B"/>
    <w:rsid w:val="00EA2113"/>
    <w:rsid w:val="00EA31E1"/>
    <w:rsid w:val="00EA676C"/>
    <w:rsid w:val="00EB417B"/>
    <w:rsid w:val="00EC697E"/>
    <w:rsid w:val="00ED1AE3"/>
    <w:rsid w:val="00EE348E"/>
    <w:rsid w:val="00EE4911"/>
    <w:rsid w:val="00EE5889"/>
    <w:rsid w:val="00F04162"/>
    <w:rsid w:val="00F050EC"/>
    <w:rsid w:val="00F06FC2"/>
    <w:rsid w:val="00F32F3C"/>
    <w:rsid w:val="00F75F65"/>
    <w:rsid w:val="00F81E16"/>
    <w:rsid w:val="00F843DB"/>
    <w:rsid w:val="00F847A3"/>
    <w:rsid w:val="00F95201"/>
    <w:rsid w:val="00FA0373"/>
    <w:rsid w:val="00FA3F36"/>
    <w:rsid w:val="00FA610E"/>
    <w:rsid w:val="00FC0EC5"/>
    <w:rsid w:val="00FD5F2B"/>
    <w:rsid w:val="00FE2E78"/>
    <w:rsid w:val="00FE6D9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EBA35"/>
  <w15:docId w15:val="{F359EF06-2EBF-A94A-B689-EA9E5CFA6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634C9D"/>
    <w:pPr>
      <w:ind w:left="720"/>
      <w:contextualSpacing/>
    </w:pPr>
  </w:style>
  <w:style w:type="paragraph" w:styleId="TtuloTDC">
    <w:name w:val="TOC Heading"/>
    <w:basedOn w:val="Ttulo1"/>
    <w:next w:val="Normal"/>
    <w:uiPriority w:val="39"/>
    <w:unhideWhenUsed/>
    <w:qFormat/>
    <w:rsid w:val="0089305C"/>
    <w:pPr>
      <w:spacing w:before="480" w:after="0"/>
      <w:outlineLvl w:val="9"/>
    </w:pPr>
    <w:rPr>
      <w:rFonts w:asciiTheme="majorHAnsi" w:eastAsiaTheme="majorEastAsia" w:hAnsiTheme="majorHAnsi" w:cstheme="majorBidi"/>
      <w:b/>
      <w:bCs/>
      <w:color w:val="365F91" w:themeColor="accent1" w:themeShade="BF"/>
      <w:sz w:val="28"/>
      <w:szCs w:val="28"/>
      <w:lang w:val="es-CR"/>
    </w:rPr>
  </w:style>
  <w:style w:type="paragraph" w:styleId="TDC1">
    <w:name w:val="toc 1"/>
    <w:basedOn w:val="Normal"/>
    <w:next w:val="Normal"/>
    <w:autoRedefine/>
    <w:uiPriority w:val="39"/>
    <w:unhideWhenUsed/>
    <w:rsid w:val="0089305C"/>
    <w:pPr>
      <w:spacing w:before="120"/>
    </w:pPr>
    <w:rPr>
      <w:rFonts w:asciiTheme="minorHAnsi" w:hAnsiTheme="minorHAnsi"/>
      <w:b/>
      <w:bCs/>
      <w:i/>
      <w:iCs/>
      <w:sz w:val="24"/>
      <w:szCs w:val="24"/>
    </w:rPr>
  </w:style>
  <w:style w:type="paragraph" w:styleId="TDC2">
    <w:name w:val="toc 2"/>
    <w:basedOn w:val="Normal"/>
    <w:next w:val="Normal"/>
    <w:autoRedefine/>
    <w:uiPriority w:val="39"/>
    <w:unhideWhenUsed/>
    <w:rsid w:val="0089305C"/>
    <w:pPr>
      <w:spacing w:before="120"/>
      <w:ind w:left="220"/>
    </w:pPr>
    <w:rPr>
      <w:rFonts w:asciiTheme="minorHAnsi" w:hAnsiTheme="minorHAnsi"/>
      <w:b/>
      <w:bCs/>
    </w:rPr>
  </w:style>
  <w:style w:type="paragraph" w:styleId="TDC3">
    <w:name w:val="toc 3"/>
    <w:basedOn w:val="Normal"/>
    <w:next w:val="Normal"/>
    <w:autoRedefine/>
    <w:uiPriority w:val="39"/>
    <w:unhideWhenUsed/>
    <w:rsid w:val="0089305C"/>
    <w:pPr>
      <w:ind w:left="440"/>
    </w:pPr>
    <w:rPr>
      <w:rFonts w:asciiTheme="minorHAnsi" w:hAnsiTheme="minorHAnsi"/>
      <w:sz w:val="20"/>
      <w:szCs w:val="20"/>
    </w:rPr>
  </w:style>
  <w:style w:type="paragraph" w:styleId="TDC4">
    <w:name w:val="toc 4"/>
    <w:basedOn w:val="Normal"/>
    <w:next w:val="Normal"/>
    <w:autoRedefine/>
    <w:uiPriority w:val="39"/>
    <w:semiHidden/>
    <w:unhideWhenUsed/>
    <w:rsid w:val="0089305C"/>
    <w:pPr>
      <w:ind w:left="660"/>
    </w:pPr>
    <w:rPr>
      <w:rFonts w:asciiTheme="minorHAnsi" w:hAnsiTheme="minorHAnsi"/>
      <w:sz w:val="20"/>
      <w:szCs w:val="20"/>
    </w:rPr>
  </w:style>
  <w:style w:type="paragraph" w:styleId="TDC5">
    <w:name w:val="toc 5"/>
    <w:basedOn w:val="Normal"/>
    <w:next w:val="Normal"/>
    <w:autoRedefine/>
    <w:uiPriority w:val="39"/>
    <w:semiHidden/>
    <w:unhideWhenUsed/>
    <w:rsid w:val="0089305C"/>
    <w:pPr>
      <w:ind w:left="880"/>
    </w:pPr>
    <w:rPr>
      <w:rFonts w:asciiTheme="minorHAnsi" w:hAnsiTheme="minorHAnsi"/>
      <w:sz w:val="20"/>
      <w:szCs w:val="20"/>
    </w:rPr>
  </w:style>
  <w:style w:type="paragraph" w:styleId="TDC6">
    <w:name w:val="toc 6"/>
    <w:basedOn w:val="Normal"/>
    <w:next w:val="Normal"/>
    <w:autoRedefine/>
    <w:uiPriority w:val="39"/>
    <w:semiHidden/>
    <w:unhideWhenUsed/>
    <w:rsid w:val="0089305C"/>
    <w:pPr>
      <w:ind w:left="1100"/>
    </w:pPr>
    <w:rPr>
      <w:rFonts w:asciiTheme="minorHAnsi" w:hAnsiTheme="minorHAnsi"/>
      <w:sz w:val="20"/>
      <w:szCs w:val="20"/>
    </w:rPr>
  </w:style>
  <w:style w:type="paragraph" w:styleId="TDC7">
    <w:name w:val="toc 7"/>
    <w:basedOn w:val="Normal"/>
    <w:next w:val="Normal"/>
    <w:autoRedefine/>
    <w:uiPriority w:val="39"/>
    <w:semiHidden/>
    <w:unhideWhenUsed/>
    <w:rsid w:val="0089305C"/>
    <w:pPr>
      <w:ind w:left="1320"/>
    </w:pPr>
    <w:rPr>
      <w:rFonts w:asciiTheme="minorHAnsi" w:hAnsiTheme="minorHAnsi"/>
      <w:sz w:val="20"/>
      <w:szCs w:val="20"/>
    </w:rPr>
  </w:style>
  <w:style w:type="paragraph" w:styleId="TDC8">
    <w:name w:val="toc 8"/>
    <w:basedOn w:val="Normal"/>
    <w:next w:val="Normal"/>
    <w:autoRedefine/>
    <w:uiPriority w:val="39"/>
    <w:semiHidden/>
    <w:unhideWhenUsed/>
    <w:rsid w:val="0089305C"/>
    <w:pPr>
      <w:ind w:left="1540"/>
    </w:pPr>
    <w:rPr>
      <w:rFonts w:asciiTheme="minorHAnsi" w:hAnsiTheme="minorHAnsi"/>
      <w:sz w:val="20"/>
      <w:szCs w:val="20"/>
    </w:rPr>
  </w:style>
  <w:style w:type="paragraph" w:styleId="TDC9">
    <w:name w:val="toc 9"/>
    <w:basedOn w:val="Normal"/>
    <w:next w:val="Normal"/>
    <w:autoRedefine/>
    <w:uiPriority w:val="39"/>
    <w:semiHidden/>
    <w:unhideWhenUsed/>
    <w:rsid w:val="0089305C"/>
    <w:pPr>
      <w:ind w:left="1760"/>
    </w:pPr>
    <w:rPr>
      <w:rFonts w:asciiTheme="minorHAnsi" w:hAnsiTheme="minorHAnsi"/>
      <w:sz w:val="20"/>
      <w:szCs w:val="20"/>
    </w:rPr>
  </w:style>
  <w:style w:type="paragraph" w:styleId="NormalWeb">
    <w:name w:val="Normal (Web)"/>
    <w:basedOn w:val="Normal"/>
    <w:uiPriority w:val="99"/>
    <w:unhideWhenUsed/>
    <w:rsid w:val="007712E0"/>
    <w:pPr>
      <w:spacing w:before="100" w:beforeAutospacing="1" w:after="100" w:afterAutospacing="1" w:line="240" w:lineRule="auto"/>
    </w:pPr>
    <w:rPr>
      <w:rFonts w:ascii="Times New Roman" w:eastAsia="Times New Roman" w:hAnsi="Times New Roman" w:cs="Times New Roman"/>
      <w:sz w:val="24"/>
      <w:szCs w:val="24"/>
      <w:lang w:val="es-CR"/>
    </w:rPr>
  </w:style>
  <w:style w:type="character" w:styleId="Hipervnculo">
    <w:name w:val="Hyperlink"/>
    <w:basedOn w:val="Fuentedeprrafopredeter"/>
    <w:uiPriority w:val="99"/>
    <w:unhideWhenUsed/>
    <w:rsid w:val="008B1F06"/>
    <w:rPr>
      <w:color w:val="0000FF" w:themeColor="hyperlink"/>
      <w:u w:val="single"/>
    </w:rPr>
  </w:style>
  <w:style w:type="character" w:customStyle="1" w:styleId="Normal1">
    <w:name w:val="Normal1"/>
    <w:basedOn w:val="Fuentedeprrafopredeter"/>
    <w:rsid w:val="00081E4C"/>
  </w:style>
  <w:style w:type="character" w:customStyle="1" w:styleId="apple-converted-space">
    <w:name w:val="apple-converted-space"/>
    <w:basedOn w:val="Fuentedeprrafopredeter"/>
    <w:rsid w:val="00081E4C"/>
  </w:style>
  <w:style w:type="character" w:customStyle="1" w:styleId="Cita1">
    <w:name w:val="Cita1"/>
    <w:basedOn w:val="Fuentedeprrafopredeter"/>
    <w:rsid w:val="00081E4C"/>
  </w:style>
  <w:style w:type="character" w:styleId="nfasis">
    <w:name w:val="Emphasis"/>
    <w:basedOn w:val="Fuentedeprrafopredeter"/>
    <w:uiPriority w:val="20"/>
    <w:qFormat/>
    <w:rsid w:val="00081E4C"/>
    <w:rPr>
      <w:i/>
      <w:iCs/>
    </w:rPr>
  </w:style>
  <w:style w:type="paragraph" w:styleId="Textonotapie">
    <w:name w:val="footnote text"/>
    <w:aliases w:val="FOOTNOTES,fn,single space,f,Footnote Text Char1 Char,Footnote Text Char Char Char1,Footnote Text Char1 Char Char Char1,Footnote Text Char1 Char1 Char,Footnote Text Char Char Char Char,Char,Fußnote,Footnote"/>
    <w:basedOn w:val="Normal"/>
    <w:link w:val="TextonotapieCar"/>
    <w:uiPriority w:val="99"/>
    <w:semiHidden/>
    <w:unhideWhenUsed/>
    <w:rsid w:val="00081E4C"/>
    <w:pPr>
      <w:spacing w:line="240" w:lineRule="auto"/>
    </w:pPr>
    <w:rPr>
      <w:sz w:val="20"/>
      <w:szCs w:val="20"/>
    </w:rPr>
  </w:style>
  <w:style w:type="character" w:customStyle="1" w:styleId="TextonotapieCar">
    <w:name w:val="Texto nota pie Car"/>
    <w:aliases w:val="FOOTNOTES Car,fn Car,single space Car,f Car,Footnote Text Char1 Char Car,Footnote Text Char Char Char1 Car,Footnote Text Char1 Char Char Char1 Car,Footnote Text Char1 Char1 Char Car,Footnote Text Char Char Char Char Car,Char Car"/>
    <w:basedOn w:val="Fuentedeprrafopredeter"/>
    <w:link w:val="Textonotapie"/>
    <w:uiPriority w:val="99"/>
    <w:semiHidden/>
    <w:rsid w:val="00081E4C"/>
    <w:rPr>
      <w:sz w:val="20"/>
      <w:szCs w:val="20"/>
    </w:rPr>
  </w:style>
  <w:style w:type="character" w:styleId="Refdenotaalpie">
    <w:name w:val="footnote reference"/>
    <w:aliases w:val="Footnote number,Texto de nota al pie,Footnotes refss,Footnote Reference Number,BVI fnr"/>
    <w:basedOn w:val="Fuentedeprrafopredeter"/>
    <w:uiPriority w:val="99"/>
    <w:semiHidden/>
    <w:unhideWhenUsed/>
    <w:rsid w:val="00081E4C"/>
    <w:rPr>
      <w:vertAlign w:val="superscript"/>
    </w:rPr>
  </w:style>
  <w:style w:type="character" w:styleId="Mencinsinresolver">
    <w:name w:val="Unresolved Mention"/>
    <w:basedOn w:val="Fuentedeprrafopredeter"/>
    <w:uiPriority w:val="99"/>
    <w:semiHidden/>
    <w:unhideWhenUsed/>
    <w:rsid w:val="00081E4C"/>
    <w:rPr>
      <w:color w:val="605E5C"/>
      <w:shd w:val="clear" w:color="auto" w:fill="E1DFDD"/>
    </w:rPr>
  </w:style>
  <w:style w:type="character" w:styleId="Hipervnculovisitado">
    <w:name w:val="FollowedHyperlink"/>
    <w:basedOn w:val="Fuentedeprrafopredeter"/>
    <w:uiPriority w:val="99"/>
    <w:semiHidden/>
    <w:unhideWhenUsed/>
    <w:rsid w:val="007E2DE6"/>
    <w:rPr>
      <w:color w:val="800080" w:themeColor="followedHyperlink"/>
      <w:u w:val="single"/>
    </w:rPr>
  </w:style>
  <w:style w:type="paragraph" w:styleId="Piedepgina">
    <w:name w:val="footer"/>
    <w:basedOn w:val="Normal"/>
    <w:link w:val="PiedepginaCar"/>
    <w:uiPriority w:val="99"/>
    <w:unhideWhenUsed/>
    <w:rsid w:val="00D266A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266A2"/>
  </w:style>
  <w:style w:type="character" w:styleId="Nmerodepgina">
    <w:name w:val="page number"/>
    <w:basedOn w:val="Fuentedeprrafopredeter"/>
    <w:uiPriority w:val="99"/>
    <w:semiHidden/>
    <w:unhideWhenUsed/>
    <w:rsid w:val="00D266A2"/>
  </w:style>
  <w:style w:type="paragraph" w:customStyle="1" w:styleId="xmsonormal">
    <w:name w:val="x_msonormal"/>
    <w:basedOn w:val="Normal"/>
    <w:rsid w:val="00B47F02"/>
    <w:pPr>
      <w:spacing w:before="100" w:beforeAutospacing="1" w:after="100" w:afterAutospacing="1" w:line="240" w:lineRule="auto"/>
    </w:pPr>
    <w:rPr>
      <w:rFonts w:ascii="Times New Roman" w:eastAsia="Times New Roman" w:hAnsi="Times New Roman" w:cs="Times New Roman"/>
      <w:sz w:val="24"/>
      <w:szCs w:val="24"/>
      <w:lang w:val="es-CR"/>
    </w:rPr>
  </w:style>
  <w:style w:type="character" w:styleId="Textoennegrita">
    <w:name w:val="Strong"/>
    <w:basedOn w:val="Fuentedeprrafopredeter"/>
    <w:uiPriority w:val="22"/>
    <w:qFormat/>
    <w:rsid w:val="003D2409"/>
    <w:rPr>
      <w:b/>
      <w:bCs/>
    </w:rPr>
  </w:style>
  <w:style w:type="table" w:styleId="Tablaconcuadrcula">
    <w:name w:val="Table Grid"/>
    <w:basedOn w:val="Tablanormal"/>
    <w:uiPriority w:val="39"/>
    <w:rsid w:val="00300EF1"/>
    <w:pPr>
      <w:spacing w:line="240" w:lineRule="auto"/>
    </w:pPr>
    <w:rPr>
      <w:rFonts w:asciiTheme="minorHAnsi" w:eastAsiaTheme="minorHAnsi" w:hAnsiTheme="minorHAnsi" w:cstheme="minorBidi"/>
      <w:lang w:val="es-P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00EF1"/>
    <w:rPr>
      <w:sz w:val="16"/>
      <w:szCs w:val="16"/>
    </w:rPr>
  </w:style>
  <w:style w:type="paragraph" w:styleId="Textocomentario">
    <w:name w:val="annotation text"/>
    <w:basedOn w:val="Normal"/>
    <w:link w:val="TextocomentarioCar"/>
    <w:uiPriority w:val="99"/>
    <w:unhideWhenUsed/>
    <w:rsid w:val="00300EF1"/>
    <w:pPr>
      <w:spacing w:after="160" w:line="240" w:lineRule="auto"/>
    </w:pPr>
    <w:rPr>
      <w:rFonts w:asciiTheme="minorHAnsi" w:eastAsiaTheme="minorHAnsi" w:hAnsiTheme="minorHAnsi" w:cstheme="minorBidi"/>
      <w:sz w:val="20"/>
      <w:szCs w:val="20"/>
      <w:lang w:val="es-PA" w:eastAsia="en-US"/>
    </w:rPr>
  </w:style>
  <w:style w:type="character" w:customStyle="1" w:styleId="TextocomentarioCar">
    <w:name w:val="Texto comentario Car"/>
    <w:basedOn w:val="Fuentedeprrafopredeter"/>
    <w:link w:val="Textocomentario"/>
    <w:uiPriority w:val="99"/>
    <w:rsid w:val="00300EF1"/>
    <w:rPr>
      <w:rFonts w:asciiTheme="minorHAnsi" w:eastAsiaTheme="minorHAnsi" w:hAnsiTheme="minorHAnsi" w:cstheme="minorBidi"/>
      <w:sz w:val="20"/>
      <w:szCs w:val="20"/>
      <w:lang w:val="es-PA" w:eastAsia="en-US"/>
    </w:rPr>
  </w:style>
  <w:style w:type="paragraph" w:styleId="Asuntodelcomentario">
    <w:name w:val="annotation subject"/>
    <w:basedOn w:val="Textocomentario"/>
    <w:next w:val="Textocomentario"/>
    <w:link w:val="AsuntodelcomentarioCar"/>
    <w:uiPriority w:val="99"/>
    <w:semiHidden/>
    <w:unhideWhenUsed/>
    <w:rsid w:val="00886947"/>
    <w:pPr>
      <w:spacing w:after="0"/>
    </w:pPr>
    <w:rPr>
      <w:rFonts w:ascii="Arial" w:eastAsia="Arial" w:hAnsi="Arial" w:cs="Arial"/>
      <w:b/>
      <w:bCs/>
      <w:lang w:val="es" w:eastAsia="es-ES_tradnl"/>
    </w:rPr>
  </w:style>
  <w:style w:type="character" w:customStyle="1" w:styleId="AsuntodelcomentarioCar">
    <w:name w:val="Asunto del comentario Car"/>
    <w:basedOn w:val="TextocomentarioCar"/>
    <w:link w:val="Asuntodelcomentario"/>
    <w:uiPriority w:val="99"/>
    <w:semiHidden/>
    <w:rsid w:val="00886947"/>
    <w:rPr>
      <w:rFonts w:asciiTheme="minorHAnsi" w:eastAsiaTheme="minorHAnsi" w:hAnsiTheme="minorHAnsi" w:cstheme="minorBidi"/>
      <w:b/>
      <w:bCs/>
      <w:sz w:val="20"/>
      <w:szCs w:val="20"/>
      <w:lang w:val="es-PA" w:eastAsia="en-US"/>
    </w:rPr>
  </w:style>
  <w:style w:type="character" w:styleId="CitaHTML">
    <w:name w:val="HTML Cite"/>
    <w:basedOn w:val="Fuentedeprrafopredeter"/>
    <w:uiPriority w:val="99"/>
    <w:semiHidden/>
    <w:unhideWhenUsed/>
    <w:rsid w:val="00D26C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313">
      <w:bodyDiv w:val="1"/>
      <w:marLeft w:val="0"/>
      <w:marRight w:val="0"/>
      <w:marTop w:val="0"/>
      <w:marBottom w:val="0"/>
      <w:divBdr>
        <w:top w:val="none" w:sz="0" w:space="0" w:color="auto"/>
        <w:left w:val="none" w:sz="0" w:space="0" w:color="auto"/>
        <w:bottom w:val="none" w:sz="0" w:space="0" w:color="auto"/>
        <w:right w:val="none" w:sz="0" w:space="0" w:color="auto"/>
      </w:divBdr>
      <w:divsChild>
        <w:div w:id="510418814">
          <w:marLeft w:val="0"/>
          <w:marRight w:val="0"/>
          <w:marTop w:val="0"/>
          <w:marBottom w:val="0"/>
          <w:divBdr>
            <w:top w:val="none" w:sz="0" w:space="0" w:color="auto"/>
            <w:left w:val="none" w:sz="0" w:space="0" w:color="auto"/>
            <w:bottom w:val="none" w:sz="0" w:space="0" w:color="auto"/>
            <w:right w:val="none" w:sz="0" w:space="0" w:color="auto"/>
          </w:divBdr>
          <w:divsChild>
            <w:div w:id="1703093505">
              <w:marLeft w:val="0"/>
              <w:marRight w:val="0"/>
              <w:marTop w:val="0"/>
              <w:marBottom w:val="0"/>
              <w:divBdr>
                <w:top w:val="none" w:sz="0" w:space="0" w:color="auto"/>
                <w:left w:val="none" w:sz="0" w:space="0" w:color="auto"/>
                <w:bottom w:val="none" w:sz="0" w:space="0" w:color="auto"/>
                <w:right w:val="none" w:sz="0" w:space="0" w:color="auto"/>
              </w:divBdr>
              <w:divsChild>
                <w:div w:id="9595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202">
      <w:bodyDiv w:val="1"/>
      <w:marLeft w:val="0"/>
      <w:marRight w:val="0"/>
      <w:marTop w:val="0"/>
      <w:marBottom w:val="0"/>
      <w:divBdr>
        <w:top w:val="none" w:sz="0" w:space="0" w:color="auto"/>
        <w:left w:val="none" w:sz="0" w:space="0" w:color="auto"/>
        <w:bottom w:val="none" w:sz="0" w:space="0" w:color="auto"/>
        <w:right w:val="none" w:sz="0" w:space="0" w:color="auto"/>
      </w:divBdr>
    </w:div>
    <w:div w:id="191849578">
      <w:bodyDiv w:val="1"/>
      <w:marLeft w:val="0"/>
      <w:marRight w:val="0"/>
      <w:marTop w:val="0"/>
      <w:marBottom w:val="0"/>
      <w:divBdr>
        <w:top w:val="none" w:sz="0" w:space="0" w:color="auto"/>
        <w:left w:val="none" w:sz="0" w:space="0" w:color="auto"/>
        <w:bottom w:val="none" w:sz="0" w:space="0" w:color="auto"/>
        <w:right w:val="none" w:sz="0" w:space="0" w:color="auto"/>
      </w:divBdr>
    </w:div>
    <w:div w:id="204564953">
      <w:bodyDiv w:val="1"/>
      <w:marLeft w:val="0"/>
      <w:marRight w:val="0"/>
      <w:marTop w:val="0"/>
      <w:marBottom w:val="0"/>
      <w:divBdr>
        <w:top w:val="none" w:sz="0" w:space="0" w:color="auto"/>
        <w:left w:val="none" w:sz="0" w:space="0" w:color="auto"/>
        <w:bottom w:val="none" w:sz="0" w:space="0" w:color="auto"/>
        <w:right w:val="none" w:sz="0" w:space="0" w:color="auto"/>
      </w:divBdr>
      <w:divsChild>
        <w:div w:id="1201934911">
          <w:marLeft w:val="0"/>
          <w:marRight w:val="0"/>
          <w:marTop w:val="0"/>
          <w:marBottom w:val="0"/>
          <w:divBdr>
            <w:top w:val="none" w:sz="0" w:space="0" w:color="auto"/>
            <w:left w:val="none" w:sz="0" w:space="0" w:color="auto"/>
            <w:bottom w:val="none" w:sz="0" w:space="0" w:color="auto"/>
            <w:right w:val="none" w:sz="0" w:space="0" w:color="auto"/>
          </w:divBdr>
        </w:div>
      </w:divsChild>
    </w:div>
    <w:div w:id="281502306">
      <w:bodyDiv w:val="1"/>
      <w:marLeft w:val="0"/>
      <w:marRight w:val="0"/>
      <w:marTop w:val="0"/>
      <w:marBottom w:val="0"/>
      <w:divBdr>
        <w:top w:val="none" w:sz="0" w:space="0" w:color="auto"/>
        <w:left w:val="none" w:sz="0" w:space="0" w:color="auto"/>
        <w:bottom w:val="none" w:sz="0" w:space="0" w:color="auto"/>
        <w:right w:val="none" w:sz="0" w:space="0" w:color="auto"/>
      </w:divBdr>
    </w:div>
    <w:div w:id="664406320">
      <w:bodyDiv w:val="1"/>
      <w:marLeft w:val="0"/>
      <w:marRight w:val="0"/>
      <w:marTop w:val="0"/>
      <w:marBottom w:val="0"/>
      <w:divBdr>
        <w:top w:val="none" w:sz="0" w:space="0" w:color="auto"/>
        <w:left w:val="none" w:sz="0" w:space="0" w:color="auto"/>
        <w:bottom w:val="none" w:sz="0" w:space="0" w:color="auto"/>
        <w:right w:val="none" w:sz="0" w:space="0" w:color="auto"/>
      </w:divBdr>
    </w:div>
    <w:div w:id="728461122">
      <w:bodyDiv w:val="1"/>
      <w:marLeft w:val="0"/>
      <w:marRight w:val="0"/>
      <w:marTop w:val="0"/>
      <w:marBottom w:val="0"/>
      <w:divBdr>
        <w:top w:val="none" w:sz="0" w:space="0" w:color="auto"/>
        <w:left w:val="none" w:sz="0" w:space="0" w:color="auto"/>
        <w:bottom w:val="none" w:sz="0" w:space="0" w:color="auto"/>
        <w:right w:val="none" w:sz="0" w:space="0" w:color="auto"/>
      </w:divBdr>
      <w:divsChild>
        <w:div w:id="339894490">
          <w:marLeft w:val="0"/>
          <w:marRight w:val="0"/>
          <w:marTop w:val="0"/>
          <w:marBottom w:val="0"/>
          <w:divBdr>
            <w:top w:val="none" w:sz="0" w:space="0" w:color="auto"/>
            <w:left w:val="none" w:sz="0" w:space="0" w:color="auto"/>
            <w:bottom w:val="none" w:sz="0" w:space="0" w:color="auto"/>
            <w:right w:val="none" w:sz="0" w:space="0" w:color="auto"/>
          </w:divBdr>
          <w:divsChild>
            <w:div w:id="1072847865">
              <w:marLeft w:val="0"/>
              <w:marRight w:val="0"/>
              <w:marTop w:val="0"/>
              <w:marBottom w:val="0"/>
              <w:divBdr>
                <w:top w:val="none" w:sz="0" w:space="0" w:color="auto"/>
                <w:left w:val="none" w:sz="0" w:space="0" w:color="auto"/>
                <w:bottom w:val="none" w:sz="0" w:space="0" w:color="auto"/>
                <w:right w:val="none" w:sz="0" w:space="0" w:color="auto"/>
              </w:divBdr>
              <w:divsChild>
                <w:div w:id="1596743008">
                  <w:marLeft w:val="0"/>
                  <w:marRight w:val="0"/>
                  <w:marTop w:val="0"/>
                  <w:marBottom w:val="0"/>
                  <w:divBdr>
                    <w:top w:val="none" w:sz="0" w:space="0" w:color="auto"/>
                    <w:left w:val="none" w:sz="0" w:space="0" w:color="auto"/>
                    <w:bottom w:val="none" w:sz="0" w:space="0" w:color="auto"/>
                    <w:right w:val="none" w:sz="0" w:space="0" w:color="auto"/>
                  </w:divBdr>
                  <w:divsChild>
                    <w:div w:id="7791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06534">
      <w:bodyDiv w:val="1"/>
      <w:marLeft w:val="0"/>
      <w:marRight w:val="0"/>
      <w:marTop w:val="0"/>
      <w:marBottom w:val="0"/>
      <w:divBdr>
        <w:top w:val="none" w:sz="0" w:space="0" w:color="auto"/>
        <w:left w:val="none" w:sz="0" w:space="0" w:color="auto"/>
        <w:bottom w:val="none" w:sz="0" w:space="0" w:color="auto"/>
        <w:right w:val="none" w:sz="0" w:space="0" w:color="auto"/>
      </w:divBdr>
    </w:div>
    <w:div w:id="1012149460">
      <w:bodyDiv w:val="1"/>
      <w:marLeft w:val="0"/>
      <w:marRight w:val="0"/>
      <w:marTop w:val="0"/>
      <w:marBottom w:val="0"/>
      <w:divBdr>
        <w:top w:val="none" w:sz="0" w:space="0" w:color="auto"/>
        <w:left w:val="none" w:sz="0" w:space="0" w:color="auto"/>
        <w:bottom w:val="none" w:sz="0" w:space="0" w:color="auto"/>
        <w:right w:val="none" w:sz="0" w:space="0" w:color="auto"/>
      </w:divBdr>
      <w:divsChild>
        <w:div w:id="1073965398">
          <w:marLeft w:val="0"/>
          <w:marRight w:val="0"/>
          <w:marTop w:val="0"/>
          <w:marBottom w:val="0"/>
          <w:divBdr>
            <w:top w:val="none" w:sz="0" w:space="0" w:color="auto"/>
            <w:left w:val="none" w:sz="0" w:space="0" w:color="auto"/>
            <w:bottom w:val="none" w:sz="0" w:space="0" w:color="auto"/>
            <w:right w:val="none" w:sz="0" w:space="0" w:color="auto"/>
          </w:divBdr>
          <w:divsChild>
            <w:div w:id="1686899047">
              <w:marLeft w:val="0"/>
              <w:marRight w:val="0"/>
              <w:marTop w:val="0"/>
              <w:marBottom w:val="0"/>
              <w:divBdr>
                <w:top w:val="none" w:sz="0" w:space="0" w:color="auto"/>
                <w:left w:val="none" w:sz="0" w:space="0" w:color="auto"/>
                <w:bottom w:val="none" w:sz="0" w:space="0" w:color="auto"/>
                <w:right w:val="none" w:sz="0" w:space="0" w:color="auto"/>
              </w:divBdr>
              <w:divsChild>
                <w:div w:id="212338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533187">
      <w:bodyDiv w:val="1"/>
      <w:marLeft w:val="0"/>
      <w:marRight w:val="0"/>
      <w:marTop w:val="0"/>
      <w:marBottom w:val="0"/>
      <w:divBdr>
        <w:top w:val="none" w:sz="0" w:space="0" w:color="auto"/>
        <w:left w:val="none" w:sz="0" w:space="0" w:color="auto"/>
        <w:bottom w:val="none" w:sz="0" w:space="0" w:color="auto"/>
        <w:right w:val="none" w:sz="0" w:space="0" w:color="auto"/>
      </w:divBdr>
    </w:div>
    <w:div w:id="1048840790">
      <w:bodyDiv w:val="1"/>
      <w:marLeft w:val="0"/>
      <w:marRight w:val="0"/>
      <w:marTop w:val="0"/>
      <w:marBottom w:val="0"/>
      <w:divBdr>
        <w:top w:val="none" w:sz="0" w:space="0" w:color="auto"/>
        <w:left w:val="none" w:sz="0" w:space="0" w:color="auto"/>
        <w:bottom w:val="none" w:sz="0" w:space="0" w:color="auto"/>
        <w:right w:val="none" w:sz="0" w:space="0" w:color="auto"/>
      </w:divBdr>
    </w:div>
    <w:div w:id="1075082564">
      <w:bodyDiv w:val="1"/>
      <w:marLeft w:val="0"/>
      <w:marRight w:val="0"/>
      <w:marTop w:val="0"/>
      <w:marBottom w:val="0"/>
      <w:divBdr>
        <w:top w:val="none" w:sz="0" w:space="0" w:color="auto"/>
        <w:left w:val="none" w:sz="0" w:space="0" w:color="auto"/>
        <w:bottom w:val="none" w:sz="0" w:space="0" w:color="auto"/>
        <w:right w:val="none" w:sz="0" w:space="0" w:color="auto"/>
      </w:divBdr>
    </w:div>
    <w:div w:id="1078984852">
      <w:bodyDiv w:val="1"/>
      <w:marLeft w:val="0"/>
      <w:marRight w:val="0"/>
      <w:marTop w:val="0"/>
      <w:marBottom w:val="0"/>
      <w:divBdr>
        <w:top w:val="none" w:sz="0" w:space="0" w:color="auto"/>
        <w:left w:val="none" w:sz="0" w:space="0" w:color="auto"/>
        <w:bottom w:val="none" w:sz="0" w:space="0" w:color="auto"/>
        <w:right w:val="none" w:sz="0" w:space="0" w:color="auto"/>
      </w:divBdr>
      <w:divsChild>
        <w:div w:id="1384065462">
          <w:marLeft w:val="0"/>
          <w:marRight w:val="0"/>
          <w:marTop w:val="0"/>
          <w:marBottom w:val="0"/>
          <w:divBdr>
            <w:top w:val="none" w:sz="0" w:space="0" w:color="auto"/>
            <w:left w:val="none" w:sz="0" w:space="0" w:color="auto"/>
            <w:bottom w:val="none" w:sz="0" w:space="0" w:color="auto"/>
            <w:right w:val="none" w:sz="0" w:space="0" w:color="auto"/>
          </w:divBdr>
          <w:divsChild>
            <w:div w:id="285817822">
              <w:marLeft w:val="0"/>
              <w:marRight w:val="0"/>
              <w:marTop w:val="0"/>
              <w:marBottom w:val="0"/>
              <w:divBdr>
                <w:top w:val="none" w:sz="0" w:space="0" w:color="auto"/>
                <w:left w:val="none" w:sz="0" w:space="0" w:color="auto"/>
                <w:bottom w:val="none" w:sz="0" w:space="0" w:color="auto"/>
                <w:right w:val="none" w:sz="0" w:space="0" w:color="auto"/>
              </w:divBdr>
              <w:divsChild>
                <w:div w:id="6531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84068">
      <w:bodyDiv w:val="1"/>
      <w:marLeft w:val="0"/>
      <w:marRight w:val="0"/>
      <w:marTop w:val="0"/>
      <w:marBottom w:val="0"/>
      <w:divBdr>
        <w:top w:val="none" w:sz="0" w:space="0" w:color="auto"/>
        <w:left w:val="none" w:sz="0" w:space="0" w:color="auto"/>
        <w:bottom w:val="none" w:sz="0" w:space="0" w:color="auto"/>
        <w:right w:val="none" w:sz="0" w:space="0" w:color="auto"/>
      </w:divBdr>
      <w:divsChild>
        <w:div w:id="204413355">
          <w:marLeft w:val="0"/>
          <w:marRight w:val="0"/>
          <w:marTop w:val="480"/>
          <w:marBottom w:val="346"/>
          <w:divBdr>
            <w:top w:val="none" w:sz="0" w:space="0" w:color="auto"/>
            <w:left w:val="none" w:sz="0" w:space="0" w:color="auto"/>
            <w:bottom w:val="none" w:sz="0" w:space="0" w:color="auto"/>
            <w:right w:val="none" w:sz="0" w:space="0" w:color="auto"/>
          </w:divBdr>
        </w:div>
      </w:divsChild>
    </w:div>
    <w:div w:id="1220432980">
      <w:bodyDiv w:val="1"/>
      <w:marLeft w:val="0"/>
      <w:marRight w:val="0"/>
      <w:marTop w:val="0"/>
      <w:marBottom w:val="0"/>
      <w:divBdr>
        <w:top w:val="none" w:sz="0" w:space="0" w:color="auto"/>
        <w:left w:val="none" w:sz="0" w:space="0" w:color="auto"/>
        <w:bottom w:val="none" w:sz="0" w:space="0" w:color="auto"/>
        <w:right w:val="none" w:sz="0" w:space="0" w:color="auto"/>
      </w:divBdr>
    </w:div>
    <w:div w:id="1347486802">
      <w:bodyDiv w:val="1"/>
      <w:marLeft w:val="0"/>
      <w:marRight w:val="0"/>
      <w:marTop w:val="0"/>
      <w:marBottom w:val="0"/>
      <w:divBdr>
        <w:top w:val="none" w:sz="0" w:space="0" w:color="auto"/>
        <w:left w:val="none" w:sz="0" w:space="0" w:color="auto"/>
        <w:bottom w:val="none" w:sz="0" w:space="0" w:color="auto"/>
        <w:right w:val="none" w:sz="0" w:space="0" w:color="auto"/>
      </w:divBdr>
    </w:div>
    <w:div w:id="1420713753">
      <w:bodyDiv w:val="1"/>
      <w:marLeft w:val="0"/>
      <w:marRight w:val="0"/>
      <w:marTop w:val="0"/>
      <w:marBottom w:val="0"/>
      <w:divBdr>
        <w:top w:val="none" w:sz="0" w:space="0" w:color="auto"/>
        <w:left w:val="none" w:sz="0" w:space="0" w:color="auto"/>
        <w:bottom w:val="none" w:sz="0" w:space="0" w:color="auto"/>
        <w:right w:val="none" w:sz="0" w:space="0" w:color="auto"/>
      </w:divBdr>
    </w:div>
    <w:div w:id="1468553061">
      <w:bodyDiv w:val="1"/>
      <w:marLeft w:val="0"/>
      <w:marRight w:val="0"/>
      <w:marTop w:val="0"/>
      <w:marBottom w:val="0"/>
      <w:divBdr>
        <w:top w:val="none" w:sz="0" w:space="0" w:color="auto"/>
        <w:left w:val="none" w:sz="0" w:space="0" w:color="auto"/>
        <w:bottom w:val="none" w:sz="0" w:space="0" w:color="auto"/>
        <w:right w:val="none" w:sz="0" w:space="0" w:color="auto"/>
      </w:divBdr>
    </w:div>
    <w:div w:id="1795782828">
      <w:bodyDiv w:val="1"/>
      <w:marLeft w:val="0"/>
      <w:marRight w:val="0"/>
      <w:marTop w:val="0"/>
      <w:marBottom w:val="0"/>
      <w:divBdr>
        <w:top w:val="none" w:sz="0" w:space="0" w:color="auto"/>
        <w:left w:val="none" w:sz="0" w:space="0" w:color="auto"/>
        <w:bottom w:val="none" w:sz="0" w:space="0" w:color="auto"/>
        <w:right w:val="none" w:sz="0" w:space="0" w:color="auto"/>
      </w:divBdr>
    </w:div>
    <w:div w:id="2128348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Administraci%C3%B3n_P%C3%BAblic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wikipedia.org/wiki/Panam%C3%A1" TargetMode="External"/><Relationship Id="rId17" Type="http://schemas.openxmlformats.org/officeDocument/2006/relationships/hyperlink" Target="https://es-la.facebook.com/JuntosDecidimos/" TargetMode="External"/><Relationship Id="rId2" Type="http://schemas.openxmlformats.org/officeDocument/2006/relationships/numbering" Target="numbering.xml"/><Relationship Id="rId16" Type="http://schemas.openxmlformats.org/officeDocument/2006/relationships/hyperlink" Target="http://alianzaprojusticia.org.p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Entidad_fiscalizadora_superior"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movinpanama.org/" TargetMode="External"/><Relationship Id="rId23" Type="http://schemas.openxmlformats.org/officeDocument/2006/relationships/customXml" Target="../customXml/item3.xml"/><Relationship Id="rId10" Type="http://schemas.openxmlformats.org/officeDocument/2006/relationships/hyperlink" Target="https://es.wikipedia.org/wiki/Acci%C3%B3n_penal_p%C3%BAblic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s.wikipedia.org/wiki/Panam%C3%A1" TargetMode="External"/><Relationship Id="rId14" Type="http://schemas.openxmlformats.org/officeDocument/2006/relationships/hyperlink" Target="https://www.libertadciudadana.org/" TargetMode="External"/><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8" Type="http://schemas.openxmlformats.org/officeDocument/2006/relationships/hyperlink" Target="https://www.datalat.org" TargetMode="External"/><Relationship Id="rId13" Type="http://schemas.openxmlformats.org/officeDocument/2006/relationships/hyperlink" Target="http://portal.oas.org/LinkClick.aspx?fileticket=2CjQkoYdGRI%3D&amp;tabid=1814" TargetMode="External"/><Relationship Id="rId18" Type="http://schemas.openxmlformats.org/officeDocument/2006/relationships/hyperlink" Target="https://www.open-contracting.org/es/about/" TargetMode="External"/><Relationship Id="rId3" Type="http://schemas.openxmlformats.org/officeDocument/2006/relationships/hyperlink" Target="https://comunidades.cepal.org/ilpes/es/grupos/discusion/participacion-ciudadana-en-la-gestion-publica" TargetMode="External"/><Relationship Id="rId21" Type="http://schemas.openxmlformats.org/officeDocument/2006/relationships/hyperlink" Target="https://standard.open-contracting.org/latest/en/" TargetMode="External"/><Relationship Id="rId7" Type="http://schemas.openxmlformats.org/officeDocument/2006/relationships/hyperlink" Target="https://portal.paco.gov.co" TargetMode="External"/><Relationship Id="rId12" Type="http://schemas.openxmlformats.org/officeDocument/2006/relationships/hyperlink" Target="http://portal.oas.org/LinkClick.aspx?fileticket=Gh7_KuwNoCg=&amp;tabid=1814" TargetMode="External"/><Relationship Id="rId17" Type="http://schemas.openxmlformats.org/officeDocument/2006/relationships/hyperlink" Target="https://opendatacharter.net/wp-content/uploads/2015/10/opendatacharter-charter_F.pdf" TargetMode="External"/><Relationship Id="rId2" Type="http://schemas.openxmlformats.org/officeDocument/2006/relationships/hyperlink" Target="https://www.iidh.ed.cr/derecho-informacion/" TargetMode="External"/><Relationship Id="rId16" Type="http://schemas.openxmlformats.org/officeDocument/2006/relationships/hyperlink" Target="http://www.oecd.org/gov/recomendacion-del-consejo-sobre-gobierno-abierto-141217.pdf" TargetMode="External"/><Relationship Id="rId20" Type="http://schemas.openxmlformats.org/officeDocument/2006/relationships/hyperlink" Target="https://www.trustfortheamericas.org/about-us" TargetMode="External"/><Relationship Id="rId1" Type="http://schemas.openxmlformats.org/officeDocument/2006/relationships/hyperlink" Target="http://www.summit-americas.org/LIMA_COMMITMENT/LimaCommitment_es.pdf" TargetMode="External"/><Relationship Id="rId6" Type="http://schemas.openxmlformats.org/officeDocument/2006/relationships/hyperlink" Target="https://herramientas.datos.gov.co/sites/default/files/Hoja%20de%20Ruta%20Datos%20Abiertos%20Estrat&#233;gicos%202021_0.pdf" TargetMode="External"/><Relationship Id="rId11" Type="http://schemas.openxmlformats.org/officeDocument/2006/relationships/hyperlink" Target="https://opendatacharter.net/hoja-de-ruta-para-la-apertura-de-datos-anticorrupcion-en-ecuador/" TargetMode="External"/><Relationship Id="rId5" Type="http://schemas.openxmlformats.org/officeDocument/2006/relationships/hyperlink" Target="https://agacolombia.org/documents/iv-plan-accion.pdf" TargetMode="External"/><Relationship Id="rId15" Type="http://schemas.openxmlformats.org/officeDocument/2006/relationships/hyperlink" Target="https://observatorioplanificacion.cepal.org/sites/default/files/plan/files/Panam&#225;_4to%20Plan%202021-2023.pdf" TargetMode="External"/><Relationship Id="rId10" Type="http://schemas.openxmlformats.org/officeDocument/2006/relationships/hyperlink" Target="https://www.datasketch.co" TargetMode="External"/><Relationship Id="rId19" Type="http://schemas.openxmlformats.org/officeDocument/2006/relationships/hyperlink" Target="https://idatosabiertos.org/about-ilda/" TargetMode="External"/><Relationship Id="rId4" Type="http://schemas.openxmlformats.org/officeDocument/2006/relationships/hyperlink" Target="http://portal.oas.org/LinkClick.aspx?fileticket=2CjQkoYdGRI%3D&amp;tabid=1814" TargetMode="External"/><Relationship Id="rId9" Type="http://schemas.openxmlformats.org/officeDocument/2006/relationships/hyperlink" Target="https://www.ciudadaniaydesarrollo.org" TargetMode="External"/><Relationship Id="rId14" Type="http://schemas.openxmlformats.org/officeDocument/2006/relationships/hyperlink" Target="https://www.opengovpartnership.org/estandares-de-participacion-y-cocreacion-de-og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OGP17</b:Tag>
    <b:SourceType>DocumentFromInternetSite</b:SourceType>
    <b:Guid>{70748490-D6E2-462E-8C36-23AEA9A0CD33}</b:Guid>
    <b:Title>Open Government Partnership</b:Title>
    <b:Year>2017</b:Year>
    <b:Author>
      <b:Author>
        <b:Corporate>OGP</b:Corporate>
      </b:Author>
    </b:Author>
    <b:Month>Junio</b:Month>
    <b:Day>30</b:Day>
    <b:URL>https://www.opengovpartnership.org/wp-content/uploads/2001/01/OGP_POC-Manual_2017_ES.pdf</b:URL>
    <b:RefOrder>1</b:RefOrder>
  </b:Source>
  <b:Source>
    <b:Tag>OGP171</b:Tag>
    <b:SourceType>InternetSite</b:SourceType>
    <b:Guid>{9A839076-52F8-4BA6-BE42-ABD56E02E662}</b:Guid>
    <b:Title>Open Government Partnership</b:Title>
    <b:Year>2017</b:Year>
    <b:URL>https://www.opengovpartnership.org/estandares-de-participacion-y-cocreacion-de-ogp/</b:URL>
    <b:Author>
      <b:Author>
        <b:Corporate>OGP</b:Corporate>
      </b:Author>
    </b:Author>
    <b:RefOrder>2</b:RefOrder>
  </b:Source>
  <b:Source>
    <b:Tag>OGP172</b:Tag>
    <b:SourceType>InternetSite</b:SourceType>
    <b:Guid>{D47B84D0-F1C3-4BA9-A01E-5C7ACF881260}</b:Guid>
    <b:Author>
      <b:Author>
        <b:Corporate>OGP</b:Corporate>
      </b:Author>
    </b:Author>
    <b:Title>Open Government Partnership</b:Title>
    <b:Year>2017</b:Year>
    <b:Month>Mayo</b:Month>
    <b:URL>https://www.opengovpartnership.org/wp-content/uploads/2017/05/Diseno-y-Administracion-Foros-Multisectoriales_0.pdf</b:URL>
    <b:RefOrder>3</b:RefOrder>
  </b:Source>
  <b:Source>
    <b:Tag>OGP19</b:Tag>
    <b:SourceType>DocumentFromInternetSite</b:SourceType>
    <b:Guid>{A8EC0FBA-9075-48D4-B25D-15CBB1A251CB}</b:Guid>
    <b:Author>
      <b:Author>
        <b:Corporate>OGP</b:Corporate>
      </b:Author>
    </b:Author>
    <b:Title>Open Government Partnership</b:Title>
    <b:Year>2019</b:Year>
    <b:Month>Setiembre</b:Month>
    <b:URL>https://www.opengovpartnership.org/wp-content/uploads/2019/09/Justice-Policy-Series-Access-to-Justice.pdf</b:URL>
    <b:RefOrder>4</b:RefOrder>
  </b:Source>
  <b:Source>
    <b:Tag>OCD18</b:Tag>
    <b:SourceType>InternetSite</b:SourceType>
    <b:Guid>{864B3AD3-AC75-4B4A-A16B-053E74FB541C}</b:Guid>
    <b:Author>
      <b:Author>
        <b:Corporate>OCDE</b:Corporate>
      </b:Author>
    </b:Author>
    <b:Title>OECD</b:Title>
    <b:Year>2018</b:Year>
    <b:URL>https://www.oecd.org/gov/oecd-recommendation-of-the-council-on-open-government-es.pdf</b:URL>
    <b:RefOrder>5</b:RefOrder>
  </b:Source>
  <b:Source>
    <b:Tag>OCD181</b:Tag>
    <b:SourceType>DocumentFromInternetSite</b:SourceType>
    <b:Guid>{DA1DCFD4-EAAC-4ADC-8537-59B501F9B0E3}</b:Guid>
    <b:Author>
      <b:Author>
        <b:Corporate>OCDE</b:Corporate>
      </b:Author>
    </b:Author>
    <b:Title>Organización para la Cooperación y el Desarrollo Económico</b:Title>
    <b:Year>2018</b:Year>
    <b:URL>http://www.oecd.org/gov/recomendacion-del-consejo-sobre-gobierno-abierto-141217.pdf</b:URL>
    <b:RefOrder>6</b:RefOrder>
  </b:Source>
  <b:Source>
    <b:Tag>OCD191</b:Tag>
    <b:SourceType>InternetSite</b:SourceType>
    <b:Guid>{2A4A1668-21E0-46EF-AB55-215C970E8D17}</b:Guid>
    <b:Author>
      <b:Author>
        <b:Corporate>OCDE</b:Corporate>
      </b:Author>
    </b:Author>
    <b:Title>Secretaría de Transparencia</b:Title>
    <b:Year>2019</b:Year>
    <b:URL>http://www.secretariatransparencia.gov.co/Documents/Scan%20Proyecto%20SIDA%20Final%20Spanish.pdf</b:URL>
    <b:RefOrder>7</b:RefOrder>
  </b:Source>
  <b:Source>
    <b:Tag>ODC15</b:Tag>
    <b:SourceType>DocumentFromInternetSite</b:SourceType>
    <b:Guid>{0FBD9CF1-AB0C-4F3C-8547-217F6A830CE6}</b:Guid>
    <b:Author>
      <b:Author>
        <b:Corporate>ODC</b:Corporate>
      </b:Author>
    </b:Author>
    <b:Title>Open Data Charter</b:Title>
    <b:Year>2015</b:Year>
    <b:URL>https://opendatacharter.net/wp-content/uploads/2015/10/opendatacharter-charter_F.pdf</b:URL>
    <b:RefOrder>8</b:RefOrder>
  </b:Source>
  <b:Source>
    <b:Tag>CLA16</b:Tag>
    <b:SourceType>DocumentFromInternetSite</b:SourceType>
    <b:Guid>{B2DE5889-551E-40A0-B46F-EBD0E9D8F4C1}</b:Guid>
    <b:Author>
      <b:Author>
        <b:Corporate>CLAD</b:Corporate>
      </b:Author>
    </b:Author>
    <b:Title>Centro Latinoamericano de Administración para el Desarrollo</b:Title>
    <b:Year>2016</b:Year>
    <b:URL>https://www.clad.org/images/declaraciones/CIGA-Octubre-2016.pdf</b:URL>
    <b:RefOrder>9</b:RefOrder>
  </b:Source>
  <b:Source>
    <b:Tag>OEA191</b:Tag>
    <b:SourceType>DocumentFromInternetSite</b:SourceType>
    <b:Guid>{D28EEEA4-C5D0-4DFC-AF4E-F0F326C1BC3B}</b:Guid>
    <b:Author>
      <b:Author>
        <b:Corporate>OEA</b:Corporate>
      </b:Author>
    </b:Author>
    <b:Title>Organzación de Estados Americanos</b:Title>
    <b:Year>2019</b:Year>
    <b:Month>Julio</b:Month>
    <b:URL>http://scm.oas.org/doc_public/SPANISH/HIST_19/AG07971S03.doc</b:URL>
    <b:RefOrder>10</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A06AF87D09BA784C83B53611DE372F61" ma:contentTypeVersion="12" ma:contentTypeDescription="Crear nuevo documento." ma:contentTypeScope="" ma:versionID="8dc8d3012202c26d29142d01584cc93c">
  <xsd:schema xmlns:xsd="http://www.w3.org/2001/XMLSchema" xmlns:xs="http://www.w3.org/2001/XMLSchema" xmlns:p="http://schemas.microsoft.com/office/2006/metadata/properties" xmlns:ns2="81acb72a-09d1-4d52-9293-7342b04f537c" xmlns:ns3="f67fcb63-ab45-4b36-9a09-733ac8b24b58" targetNamespace="http://schemas.microsoft.com/office/2006/metadata/properties" ma:root="true" ma:fieldsID="1e913a60b44a36952614d075a88cd5f4" ns2:_="" ns3:_="">
    <xsd:import namespace="81acb72a-09d1-4d52-9293-7342b04f537c"/>
    <xsd:import namespace="f67fcb63-ab45-4b36-9a09-733ac8b24b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cb72a-09d1-4d52-9293-7342b04f5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7fcb63-ab45-4b36-9a09-733ac8b24b58"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FC95E9-8056-7B4B-90B8-EA84872E9784}">
  <ds:schemaRefs>
    <ds:schemaRef ds:uri="http://schemas.openxmlformats.org/officeDocument/2006/bibliography"/>
  </ds:schemaRefs>
</ds:datastoreItem>
</file>

<file path=customXml/itemProps2.xml><?xml version="1.0" encoding="utf-8"?>
<ds:datastoreItem xmlns:ds="http://schemas.openxmlformats.org/officeDocument/2006/customXml" ds:itemID="{239DA877-9957-400D-AE34-59217F945862}"/>
</file>

<file path=customXml/itemProps3.xml><?xml version="1.0" encoding="utf-8"?>
<ds:datastoreItem xmlns:ds="http://schemas.openxmlformats.org/officeDocument/2006/customXml" ds:itemID="{C872D475-1539-41C4-8997-F706CE14F382}"/>
</file>

<file path=customXml/itemProps4.xml><?xml version="1.0" encoding="utf-8"?>
<ds:datastoreItem xmlns:ds="http://schemas.openxmlformats.org/officeDocument/2006/customXml" ds:itemID="{6BE7E9DA-B414-4BFD-B1A4-7CCC71085764}"/>
</file>

<file path=docProps/app.xml><?xml version="1.0" encoding="utf-8"?>
<Properties xmlns="http://schemas.openxmlformats.org/officeDocument/2006/extended-properties" xmlns:vt="http://schemas.openxmlformats.org/officeDocument/2006/docPropsVTypes">
  <Template>Normal.dotm</Template>
  <TotalTime>236</TotalTime>
  <Pages>28</Pages>
  <Words>8393</Words>
  <Characters>46167</Characters>
  <Application>Microsoft Office Word</Application>
  <DocSecurity>0</DocSecurity>
  <Lines>384</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Iriani, Rodrigo</dc:creator>
  <cp:lastModifiedBy>Jorge Umaña</cp:lastModifiedBy>
  <cp:revision>87</cp:revision>
  <dcterms:created xsi:type="dcterms:W3CDTF">2022-03-08T15:07:00Z</dcterms:created>
  <dcterms:modified xsi:type="dcterms:W3CDTF">2022-04-08T13:13:00Z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0x010100A06AF87D09BA784C83B53611DE372F61</vt:lpwstr>
  </property>
</Properties>
</file>